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1" w:rsidRPr="00E46FAA" w:rsidRDefault="00972FE1" w:rsidP="007206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Муниципальное автономное общеобразовательное учреждение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6FAA">
        <w:rPr>
          <w:b/>
          <w:sz w:val="20"/>
          <w:szCs w:val="20"/>
        </w:rPr>
        <w:t>«</w:t>
      </w:r>
      <w:proofErr w:type="spellStart"/>
      <w:r w:rsidRPr="00E46FAA">
        <w:rPr>
          <w:b/>
          <w:sz w:val="20"/>
          <w:szCs w:val="20"/>
        </w:rPr>
        <w:t>Новоатьяловская</w:t>
      </w:r>
      <w:proofErr w:type="spellEnd"/>
      <w:r w:rsidRPr="00E46FAA">
        <w:rPr>
          <w:b/>
          <w:sz w:val="20"/>
          <w:szCs w:val="20"/>
        </w:rPr>
        <w:t xml:space="preserve"> средняя общеобразовательная школа»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31611C4" wp14:editId="70B456E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46FAA">
        <w:rPr>
          <w:sz w:val="20"/>
          <w:szCs w:val="20"/>
        </w:rPr>
        <w:t xml:space="preserve">ул. Школьная, д. 20, с. </w:t>
      </w:r>
      <w:proofErr w:type="spellStart"/>
      <w:r w:rsidRPr="00E46FAA">
        <w:rPr>
          <w:sz w:val="20"/>
          <w:szCs w:val="20"/>
        </w:rPr>
        <w:t>Новоатьялово</w:t>
      </w:r>
      <w:proofErr w:type="spellEnd"/>
      <w:r w:rsidRPr="00E46FAA">
        <w:rPr>
          <w:sz w:val="20"/>
          <w:szCs w:val="20"/>
        </w:rPr>
        <w:t xml:space="preserve">, </w:t>
      </w:r>
      <w:proofErr w:type="spellStart"/>
      <w:r w:rsidRPr="00E46FAA">
        <w:rPr>
          <w:sz w:val="20"/>
          <w:szCs w:val="20"/>
        </w:rPr>
        <w:t>Ялуторовский</w:t>
      </w:r>
      <w:proofErr w:type="spellEnd"/>
      <w:r w:rsidRPr="00E46FAA">
        <w:rPr>
          <w:sz w:val="20"/>
          <w:szCs w:val="20"/>
        </w:rPr>
        <w:t xml:space="preserve"> район, Тюменская область, 627050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 xml:space="preserve">тел./факс 8 (34535) 34-1-60,  </w:t>
      </w:r>
      <w:r w:rsidRPr="00E46FAA">
        <w:rPr>
          <w:sz w:val="20"/>
          <w:szCs w:val="20"/>
          <w:lang w:val="en-US"/>
        </w:rPr>
        <w:t>e</w:t>
      </w:r>
      <w:r w:rsidRPr="00E46FAA">
        <w:rPr>
          <w:sz w:val="20"/>
          <w:szCs w:val="20"/>
        </w:rPr>
        <w:t>-</w:t>
      </w:r>
      <w:r w:rsidRPr="00E46FAA">
        <w:rPr>
          <w:sz w:val="20"/>
          <w:szCs w:val="20"/>
          <w:lang w:val="en-US"/>
        </w:rPr>
        <w:t>mail</w:t>
      </w:r>
      <w:r w:rsidRPr="00E46FAA">
        <w:rPr>
          <w:sz w:val="20"/>
          <w:szCs w:val="20"/>
          <w:lang w:val="tt-RU"/>
        </w:rPr>
        <w:t xml:space="preserve">: </w:t>
      </w:r>
      <w:r w:rsidRPr="00E46FAA">
        <w:rPr>
          <w:sz w:val="20"/>
          <w:szCs w:val="20"/>
          <w:u w:val="single"/>
          <w:lang w:val="en-US"/>
        </w:rPr>
        <w:fldChar w:fldCharType="begin"/>
      </w:r>
      <w:r w:rsidRPr="00E46FAA">
        <w:rPr>
          <w:sz w:val="20"/>
          <w:szCs w:val="20"/>
          <w:u w:val="single"/>
        </w:rPr>
        <w:instrText xml:space="preserve"> </w:instrText>
      </w:r>
      <w:r w:rsidRPr="00E46FAA">
        <w:rPr>
          <w:sz w:val="20"/>
          <w:szCs w:val="20"/>
          <w:u w:val="single"/>
          <w:lang w:val="en-US"/>
        </w:rPr>
        <w:instrText>HYPERLINK</w:instrText>
      </w:r>
      <w:r w:rsidRPr="00E46FAA">
        <w:rPr>
          <w:sz w:val="20"/>
          <w:szCs w:val="20"/>
          <w:u w:val="single"/>
        </w:rPr>
        <w:instrText xml:space="preserve"> "</w:instrText>
      </w:r>
      <w:r w:rsidRPr="00E46FAA">
        <w:rPr>
          <w:sz w:val="20"/>
          <w:szCs w:val="20"/>
          <w:u w:val="single"/>
          <w:lang w:val="en-US"/>
        </w:rPr>
        <w:instrText>mailto</w:instrText>
      </w:r>
      <w:r w:rsidRPr="00E46FAA">
        <w:rPr>
          <w:sz w:val="20"/>
          <w:szCs w:val="20"/>
          <w:u w:val="single"/>
        </w:rPr>
        <w:instrText>:</w:instrText>
      </w:r>
      <w:r w:rsidRPr="00E46FAA">
        <w:rPr>
          <w:sz w:val="20"/>
          <w:szCs w:val="20"/>
          <w:u w:val="single"/>
          <w:lang w:val="en-US"/>
        </w:rPr>
        <w:instrText>novoat</w:instrText>
      </w:r>
      <w:r w:rsidRPr="00E46FAA">
        <w:rPr>
          <w:sz w:val="20"/>
          <w:szCs w:val="20"/>
          <w:u w:val="single"/>
        </w:rPr>
        <w:instrText>_</w:instrText>
      </w:r>
      <w:r w:rsidRPr="00E46FAA">
        <w:rPr>
          <w:sz w:val="20"/>
          <w:szCs w:val="20"/>
          <w:u w:val="single"/>
          <w:lang w:val="en-US"/>
        </w:rPr>
        <w:instrText>school</w:instrText>
      </w:r>
      <w:r w:rsidRPr="00E46FAA">
        <w:rPr>
          <w:sz w:val="20"/>
          <w:szCs w:val="20"/>
          <w:u w:val="single"/>
        </w:rPr>
        <w:instrText>@</w:instrText>
      </w:r>
      <w:r w:rsidRPr="00E46FAA">
        <w:rPr>
          <w:sz w:val="20"/>
          <w:szCs w:val="20"/>
          <w:u w:val="single"/>
          <w:lang w:val="en-US"/>
        </w:rPr>
        <w:instrText>inbox</w:instrText>
      </w:r>
      <w:r w:rsidRPr="00E46FAA">
        <w:rPr>
          <w:sz w:val="20"/>
          <w:szCs w:val="20"/>
          <w:u w:val="single"/>
        </w:rPr>
        <w:instrText>.</w:instrText>
      </w:r>
      <w:r w:rsidRPr="00E46FAA">
        <w:rPr>
          <w:sz w:val="20"/>
          <w:szCs w:val="20"/>
          <w:u w:val="single"/>
          <w:lang w:val="en-US"/>
        </w:rPr>
        <w:instrText>ru</w:instrText>
      </w:r>
      <w:r w:rsidRPr="00E46FAA">
        <w:rPr>
          <w:sz w:val="20"/>
          <w:szCs w:val="20"/>
          <w:u w:val="single"/>
        </w:rPr>
        <w:instrText xml:space="preserve">" </w:instrText>
      </w:r>
      <w:r w:rsidRPr="00E46FAA">
        <w:rPr>
          <w:sz w:val="20"/>
          <w:szCs w:val="20"/>
          <w:u w:val="single"/>
          <w:lang w:val="en-US"/>
        </w:rPr>
        <w:fldChar w:fldCharType="separate"/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46FAA">
        <w:rPr>
          <w:color w:val="0000FF" w:themeColor="hyperlink"/>
          <w:sz w:val="20"/>
          <w:szCs w:val="20"/>
          <w:u w:val="single"/>
        </w:rPr>
        <w:t>_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46FAA">
        <w:rPr>
          <w:color w:val="0000FF" w:themeColor="hyperlink"/>
          <w:sz w:val="20"/>
          <w:szCs w:val="20"/>
          <w:u w:val="single"/>
        </w:rPr>
        <w:t>@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46FAA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46FAA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E46FAA">
        <w:rPr>
          <w:sz w:val="20"/>
          <w:szCs w:val="20"/>
          <w:u w:val="single"/>
          <w:lang w:val="en-US"/>
        </w:rPr>
        <w:fldChar w:fldCharType="end"/>
      </w:r>
      <w:r w:rsidRPr="00E46FAA">
        <w:rPr>
          <w:sz w:val="20"/>
          <w:szCs w:val="20"/>
        </w:rPr>
        <w:t xml:space="preserve">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ОКПО 45782046, ОГРН 1027201465741, ИНН/КПП 7228005312/720701001</w:t>
      </w:r>
    </w:p>
    <w:p w:rsidR="00972FE1" w:rsidRPr="00E46FAA" w:rsidRDefault="00972FE1" w:rsidP="00972FE1">
      <w:pPr>
        <w:jc w:val="center"/>
        <w:rPr>
          <w:sz w:val="20"/>
          <w:szCs w:val="20"/>
        </w:rPr>
      </w:pPr>
    </w:p>
    <w:p w:rsidR="00972FE1" w:rsidRDefault="00972FE1" w:rsidP="00972FE1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070C10" w:rsidTr="00444903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E46FAA" w:rsidRPr="00E46FAA" w:rsidRDefault="00E46FAA" w:rsidP="00972FE1">
      <w:pPr>
        <w:jc w:val="center"/>
        <w:rPr>
          <w:sz w:val="20"/>
          <w:szCs w:val="20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E46FAA">
      <w:pPr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D8661A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972FE1"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766440">
      <w:pPr>
        <w:tabs>
          <w:tab w:val="left" w:pos="6315"/>
        </w:tabs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становление и развитие личности </w:t>
      </w:r>
      <w:proofErr w:type="gramStart"/>
      <w:r w:rsidRPr="00654E77">
        <w:rPr>
          <w:rFonts w:eastAsia="Calibri"/>
          <w:u w:color="000000"/>
          <w:bdr w:val="nil"/>
        </w:rPr>
        <w:t>обучающегося</w:t>
      </w:r>
      <w:proofErr w:type="gramEnd"/>
      <w:r w:rsidRPr="00654E77">
        <w:rPr>
          <w:rFonts w:eastAsia="Calibri"/>
          <w:u w:color="000000"/>
          <w:bdr w:val="nil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</w:t>
      </w:r>
      <w:proofErr w:type="gramStart"/>
      <w:r w:rsidRPr="00654E77">
        <w:rPr>
          <w:rFonts w:eastAsia="Calibri"/>
          <w:u w:color="000000"/>
          <w:bdr w:val="nil"/>
        </w:rPr>
        <w:t>обучающихся</w:t>
      </w:r>
      <w:proofErr w:type="gramEnd"/>
      <w:r w:rsidRPr="00654E77">
        <w:rPr>
          <w:rFonts w:eastAsia="Calibri"/>
          <w:u w:color="000000"/>
          <w:bdr w:val="nil"/>
        </w:rPr>
        <w:t xml:space="preserve">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proofErr w:type="gramStart"/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</w:t>
      </w:r>
      <w:proofErr w:type="gramStart"/>
      <w:r w:rsidRPr="00654E77">
        <w:rPr>
          <w:rFonts w:eastAsia="Calibri"/>
          <w:u w:color="000000"/>
          <w:bdr w:val="nil"/>
        </w:rPr>
        <w:t>обучающимися</w:t>
      </w:r>
      <w:proofErr w:type="gramEnd"/>
      <w:r w:rsidRPr="00654E77">
        <w:rPr>
          <w:rFonts w:eastAsia="Calibri"/>
          <w:u w:color="000000"/>
          <w:bdr w:val="nil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eastAsia="Calibri"/>
        </w:rPr>
        <w:t>неперсонифицированной</w:t>
      </w:r>
      <w:proofErr w:type="spellEnd"/>
      <w:r w:rsidRPr="00654E77">
        <w:rPr>
          <w:rFonts w:eastAsia="Calibri"/>
        </w:rPr>
        <w:t xml:space="preserve">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eastAsia="Calibri"/>
        </w:rPr>
        <w:t>метапредметных</w:t>
      </w:r>
      <w:proofErr w:type="spellEnd"/>
      <w:r w:rsidRPr="00654E77">
        <w:rPr>
          <w:rFonts w:eastAsia="Calibri"/>
        </w:rPr>
        <w:t xml:space="preserve">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lastRenderedPageBreak/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</w:t>
      </w:r>
      <w:proofErr w:type="spellStart"/>
      <w:r>
        <w:t>Новоатьяловская</w:t>
      </w:r>
      <w:proofErr w:type="spellEnd"/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</w:t>
      </w:r>
      <w:proofErr w:type="spellStart"/>
      <w:r w:rsidR="00B050B9">
        <w:t>Асланинская</w:t>
      </w:r>
      <w:proofErr w:type="spellEnd"/>
      <w:r w:rsidR="00B050B9">
        <w:t xml:space="preserve"> СОШ», «</w:t>
      </w:r>
      <w:proofErr w:type="spellStart"/>
      <w:r>
        <w:t>Бердюгинская</w:t>
      </w:r>
      <w:proofErr w:type="spellEnd"/>
      <w:r>
        <w:t xml:space="preserve"> СОШ», «</w:t>
      </w:r>
      <w:proofErr w:type="gramStart"/>
      <w:r>
        <w:t>Ивановс</w:t>
      </w:r>
      <w:r w:rsidR="00D8603C">
        <w:t>кая</w:t>
      </w:r>
      <w:proofErr w:type="gramEnd"/>
      <w:r w:rsidR="00D8603C">
        <w:t xml:space="preserve"> СОШ», «</w:t>
      </w:r>
      <w:proofErr w:type="spellStart"/>
      <w:r w:rsidR="00D8603C">
        <w:t>Старокавдыкская</w:t>
      </w:r>
      <w:proofErr w:type="spellEnd"/>
      <w:r w:rsidR="00D8603C">
        <w:t xml:space="preserve"> СОШ». В</w:t>
      </w:r>
      <w:r>
        <w:t xml:space="preserve"> 2019- 2020 году сформировано </w:t>
      </w:r>
      <w:r w:rsidR="00CB5D25">
        <w:rPr>
          <w:rFonts w:ascii="inherit" w:hAnsi="inherit" w:cs="Arial"/>
          <w:color w:val="000000"/>
          <w:bdr w:val="none" w:sz="0" w:space="0" w:color="auto" w:frame="1"/>
        </w:rPr>
        <w:t>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proofErr w:type="gramStart"/>
      <w:r w:rsidRPr="005A35CB">
        <w:rPr>
          <w:rFonts w:ascii="inherit" w:hAnsi="inherit" w:cs="Arial"/>
          <w:color w:val="000000"/>
          <w:bdr w:val="none" w:sz="0" w:space="0" w:color="auto" w:frame="1"/>
        </w:rPr>
        <w:t>а-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10 класса, 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класса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Pr="009A1D10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 xml:space="preserve">- </w:t>
      </w:r>
      <w:r w:rsidR="00406126" w:rsidRPr="009A1D10">
        <w:rPr>
          <w:rFonts w:ascii="Times New Roman" w:hAnsi="Times New Roman" w:cs="Times New Roman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06126">
        <w:rPr>
          <w:rFonts w:ascii="Times New Roman" w:hAnsi="Times New Roman" w:cs="Times New Roman"/>
        </w:rPr>
        <w:t xml:space="preserve"> от 22.11.2019 года № 632</w:t>
      </w:r>
      <w:r w:rsidR="009A1D10" w:rsidRPr="009A1D10">
        <w:rPr>
          <w:rFonts w:ascii="Times New Roman" w:hAnsi="Times New Roman" w:cs="Times New Roman"/>
        </w:rPr>
        <w:t xml:space="preserve">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 w:rsidR="00AD5AF3">
        <w:rPr>
          <w:bCs/>
          <w:iCs/>
        </w:rPr>
        <w:t xml:space="preserve">ии </w:t>
      </w:r>
      <w:proofErr w:type="spellStart"/>
      <w:r w:rsidR="00AD5AF3">
        <w:rPr>
          <w:bCs/>
          <w:iCs/>
        </w:rPr>
        <w:t>Ялуторовского</w:t>
      </w:r>
      <w:proofErr w:type="spellEnd"/>
      <w:r w:rsidR="00AD5AF3">
        <w:rPr>
          <w:bCs/>
          <w:iCs/>
        </w:rPr>
        <w:t xml:space="preserve">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t>В МАОУ «</w:t>
      </w:r>
      <w:proofErr w:type="spellStart"/>
      <w:r>
        <w:t>Новоатьяловская</w:t>
      </w:r>
      <w:proofErr w:type="spellEnd"/>
      <w:r>
        <w:t xml:space="preserve"> СОШ»,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Асланинская</w:t>
      </w:r>
      <w:proofErr w:type="spellEnd"/>
      <w:r>
        <w:t xml:space="preserve"> СОШ» и 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Старокавдыкская</w:t>
      </w:r>
      <w:proofErr w:type="spellEnd"/>
      <w:r>
        <w:t xml:space="preserve">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</w:t>
      </w:r>
      <w:r>
        <w:rPr>
          <w:rFonts w:eastAsiaTheme="minorHAnsi"/>
          <w:lang w:eastAsia="en-US"/>
        </w:rPr>
        <w:lastRenderedPageBreak/>
        <w:t>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 xml:space="preserve">Максимально допустимая нагрузка </w:t>
      </w:r>
      <w:proofErr w:type="gramStart"/>
      <w:r w:rsidRPr="0075708F">
        <w:rPr>
          <w:szCs w:val="26"/>
        </w:rPr>
        <w:t>обучающихся</w:t>
      </w:r>
      <w:proofErr w:type="gramEnd"/>
      <w:r w:rsidRPr="0075708F">
        <w:rPr>
          <w:szCs w:val="26"/>
        </w:rPr>
        <w:t xml:space="preserve"> в неделю    Максимальная аудиторная нагрузка обучающихся соответствует</w:t>
      </w:r>
      <w:r w:rsidR="0060239D">
        <w:rPr>
          <w:szCs w:val="26"/>
        </w:rPr>
        <w:t xml:space="preserve"> нормативным требованиям СанПиН </w:t>
      </w:r>
      <w:r w:rsidRPr="0075708F">
        <w:rPr>
          <w:szCs w:val="26"/>
        </w:rPr>
        <w:t>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 xml:space="preserve">недельная нагрузка </w:t>
            </w:r>
            <w:proofErr w:type="gramStart"/>
            <w:r w:rsidRPr="00E639A0"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</w:t>
      </w:r>
      <w:proofErr w:type="gramStart"/>
      <w:r w:rsidRPr="00654E77">
        <w:rPr>
          <w:bCs/>
        </w:rPr>
        <w:t>ФК</w:t>
      </w:r>
      <w:r>
        <w:rPr>
          <w:bCs/>
        </w:rPr>
        <w:t>ГС</w:t>
      </w:r>
      <w:proofErr w:type="gramEnd"/>
      <w:r>
        <w:rPr>
          <w:bCs/>
        </w:rPr>
        <w:t xml:space="preserve">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</w:t>
      </w:r>
      <w:r w:rsidR="00406126">
        <w:rPr>
          <w:bCs/>
        </w:rPr>
        <w:t>ения РФ от 22.11.2019 года № 632</w:t>
      </w:r>
      <w:r w:rsidRPr="00520720">
        <w:rPr>
          <w:bCs/>
        </w:rPr>
        <w:t>)</w:t>
      </w:r>
      <w:r>
        <w:rPr>
          <w:bCs/>
        </w:rPr>
        <w:t xml:space="preserve">, </w:t>
      </w:r>
      <w:r w:rsidR="00C3068E" w:rsidRPr="00C3068E">
        <w:rPr>
          <w:bCs/>
          <w:i/>
        </w:rPr>
        <w:t>(приложение 1</w:t>
      </w:r>
      <w:r w:rsidRPr="00C3068E">
        <w:rPr>
          <w:bCs/>
          <w:i/>
        </w:rPr>
        <w:t>).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</w:t>
      </w:r>
      <w:r w:rsidR="0060239D">
        <w:t xml:space="preserve">льзуются </w:t>
      </w:r>
      <w:r>
        <w:t>пособия и программы, рекомендованные к использованию Тюменским областным государственным институтом разви</w:t>
      </w:r>
      <w:r w:rsidR="00172E1E">
        <w:t>тия регионального образования</w:t>
      </w:r>
      <w:r w:rsidR="00172E1E" w:rsidRPr="00172E1E">
        <w:rPr>
          <w:i/>
        </w:rPr>
        <w:t>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proofErr w:type="gramStart"/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proofErr w:type="gramEnd"/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</w:t>
      </w:r>
      <w:proofErr w:type="gramStart"/>
      <w:r>
        <w:t>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</w:t>
      </w:r>
      <w:proofErr w:type="gramEnd"/>
      <w:r>
        <w:t xml:space="preserve">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 xml:space="preserve">рамме Ляха В.И., </w:t>
      </w:r>
      <w:proofErr w:type="spellStart"/>
      <w:r>
        <w:t>Зданевича</w:t>
      </w:r>
      <w:proofErr w:type="spellEnd"/>
      <w:r>
        <w:t xml:space="preserve"> А.А.</w:t>
      </w:r>
      <w:r w:rsidRPr="005A35CB">
        <w:t xml:space="preserve">, включающий   знания   о   </w:t>
      </w:r>
      <w:r w:rsidRPr="005A35CB">
        <w:lastRenderedPageBreak/>
        <w:t xml:space="preserve">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</w:t>
      </w:r>
      <w:proofErr w:type="gramStart"/>
      <w:r w:rsidRPr="005A35CB">
        <w:rPr>
          <w:bCs/>
        </w:rPr>
        <w:t xml:space="preserve">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</w:t>
      </w:r>
      <w:r w:rsidR="0060239D">
        <w:rPr>
          <w:rFonts w:eastAsia="Calibri"/>
        </w:rPr>
        <w:t xml:space="preserve"> 2147-рп от 12 ноября 2013 г., д</w:t>
      </w:r>
      <w:r w:rsidRPr="005A35CB">
        <w:rPr>
          <w:rFonts w:eastAsia="Calibri"/>
        </w:rPr>
        <w:t>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</w:t>
      </w:r>
      <w:proofErr w:type="gramEnd"/>
      <w:r w:rsidRPr="005A35CB">
        <w:rPr>
          <w:rFonts w:eastAsia="Calibri"/>
        </w:rPr>
        <w:t xml:space="preserve">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 xml:space="preserve">о </w:t>
      </w:r>
      <w:proofErr w:type="spellStart"/>
      <w:r w:rsidRPr="005A35CB">
        <w:rPr>
          <w:rFonts w:eastAsia="Calibri"/>
          <w:bCs/>
        </w:rPr>
        <w:t>внеучебной</w:t>
      </w:r>
      <w:proofErr w:type="spellEnd"/>
      <w:r w:rsidRPr="005A35CB">
        <w:rPr>
          <w:rFonts w:eastAsia="Calibri"/>
          <w:bCs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  <w:proofErr w:type="gramStart"/>
      <w:r w:rsidRPr="005A35CB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proofErr w:type="gramEnd"/>
      <w:r w:rsidRPr="005A35CB">
        <w:rPr>
          <w:bCs/>
        </w:rPr>
        <w:t xml:space="preserve"> Результаты выполнения </w:t>
      </w:r>
      <w:proofErr w:type="gramStart"/>
      <w:r w:rsidRPr="005A35CB">
        <w:rPr>
          <w:bCs/>
        </w:rPr>
        <w:t>индивидуального проекта</w:t>
      </w:r>
      <w:proofErr w:type="gramEnd"/>
      <w:r w:rsidRPr="005A35CB">
        <w:rPr>
          <w:bCs/>
        </w:rPr>
        <w:t xml:space="preserve">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444903" w:rsidRDefault="00172E1E" w:rsidP="00172E1E"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proofErr w:type="gramEnd"/>
    </w:p>
    <w:p w:rsidR="00C8796C" w:rsidRDefault="00172E1E" w:rsidP="00172E1E"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955029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44903" w:rsidRPr="00D64290" w:rsidRDefault="00444903" w:rsidP="00444903">
      <w:pPr>
        <w:jc w:val="both"/>
      </w:pPr>
      <w:r>
        <w:rPr>
          <w:rFonts w:cs="Arial"/>
        </w:rPr>
        <w:t xml:space="preserve">  </w:t>
      </w:r>
      <w:r w:rsidRPr="00D64290"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</w:t>
      </w:r>
      <w:proofErr w:type="gramStart"/>
      <w:r w:rsidRPr="00D64290">
        <w:t>ОАО «Профилакторий «Светлый», г. Ялуторовск; Тюменский аккумуляторный завод (ТАЗ); Тюменский машиностроительный завод (</w:t>
      </w:r>
      <w:proofErr w:type="spellStart"/>
      <w:r w:rsidRPr="00D64290">
        <w:t>Тюменьмашзавод</w:t>
      </w:r>
      <w:proofErr w:type="spellEnd"/>
      <w:r w:rsidRPr="00D64290"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eastAsia="Courier New"/>
        </w:rPr>
        <w:t>ООО «Долина Карабаш» - термальный парк «</w:t>
      </w:r>
      <w:proofErr w:type="spellStart"/>
      <w:r w:rsidRPr="00D64290">
        <w:rPr>
          <w:rFonts w:eastAsia="Courier New"/>
        </w:rPr>
        <w:t>Фешенель</w:t>
      </w:r>
      <w:proofErr w:type="spellEnd"/>
      <w:r w:rsidRPr="00D64290">
        <w:rPr>
          <w:rFonts w:eastAsia="Courier New"/>
        </w:rPr>
        <w:t>»; ООО Лизинговая компания «Диамант групп-Тюмень».</w:t>
      </w:r>
      <w:proofErr w:type="gramEnd"/>
      <w:r w:rsidRPr="00D64290">
        <w:rPr>
          <w:rFonts w:eastAsia="Courier New"/>
        </w:rPr>
        <w:t xml:space="preserve"> </w:t>
      </w:r>
      <w:proofErr w:type="gramStart"/>
      <w:r w:rsidRPr="00D64290">
        <w:rPr>
          <w:rFonts w:eastAsia="Courier New"/>
        </w:rPr>
        <w:t>Завод по сортировке и переработке мусора;</w:t>
      </w:r>
      <w:r w:rsidRPr="00D64290"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D64290">
        <w:t>Богандинский</w:t>
      </w:r>
      <w:proofErr w:type="spellEnd"/>
      <w:r w:rsidRPr="00D64290">
        <w:t xml:space="preserve"> кирпичный завод»; стеновых панелей; ООО «Завод ЖБИ 5», г. Тюмень.</w:t>
      </w:r>
      <w:proofErr w:type="gramEnd"/>
    </w:p>
    <w:p w:rsidR="00444903" w:rsidRPr="00D64290" w:rsidRDefault="00444903" w:rsidP="00444903">
      <w:pPr>
        <w:rPr>
          <w:rFonts w:eastAsia="Calibri"/>
        </w:rPr>
      </w:pPr>
      <w:r>
        <w:rPr>
          <w:rFonts w:eastAsia="Calibri"/>
        </w:rPr>
        <w:t xml:space="preserve">  </w:t>
      </w:r>
      <w:r w:rsidRPr="00D64290">
        <w:rPr>
          <w:rFonts w:eastAsia="Calibri"/>
        </w:rPr>
        <w:t>Использование данных ресурсов отражено в рабочих программах и тематическом планировании педагогов физики, химии, биологии, информатики, географии.</w:t>
      </w:r>
    </w:p>
    <w:p w:rsidR="00444903" w:rsidRPr="00D64290" w:rsidRDefault="00444903" w:rsidP="00444903">
      <w:pPr>
        <w:rPr>
          <w:rFonts w:eastAsia="Calibri"/>
        </w:rPr>
      </w:pPr>
      <w:r w:rsidRPr="00D64290">
        <w:rPr>
          <w:rFonts w:eastAsia="Calibri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955029" w:rsidRPr="00EF0724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C33C67" w:rsidRPr="00C33C67" w:rsidRDefault="006D60C0" w:rsidP="00C33C6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444903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proofErr w:type="gramStart"/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  <w:proofErr w:type="gramEnd"/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</w:t>
      </w:r>
      <w:proofErr w:type="spellStart"/>
      <w:r>
        <w:rPr>
          <w:bCs/>
          <w:lang w:bidi="en-US"/>
        </w:rPr>
        <w:t>Новоатьяловская</w:t>
      </w:r>
      <w:proofErr w:type="spellEnd"/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hAnsi="inherit" w:cs="Arial"/>
          <w:bdr w:val="none" w:sz="0" w:space="0" w:color="auto" w:frame="1"/>
        </w:rPr>
        <w:t>предпрофильной</w:t>
      </w:r>
      <w:proofErr w:type="spellEnd"/>
      <w:r w:rsidRPr="005A35CB">
        <w:rPr>
          <w:rFonts w:ascii="inherit" w:hAnsi="inherit" w:cs="Arial"/>
          <w:bdr w:val="none" w:sz="0" w:space="0" w:color="auto" w:frame="1"/>
        </w:rPr>
        <w:t xml:space="preserve">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B96582" w:rsidRPr="00FE50F5" w:rsidRDefault="00B96582" w:rsidP="00FE50F5">
      <w:pPr>
        <w:rPr>
          <w:noProof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025"/>
        <w:gridCol w:w="15"/>
        <w:gridCol w:w="60"/>
        <w:gridCol w:w="310"/>
        <w:gridCol w:w="2268"/>
        <w:gridCol w:w="446"/>
      </w:tblGrid>
      <w:tr w:rsidR="0087331E" w:rsidRPr="008C5EEE" w:rsidTr="00264D8B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264D8B">
        <w:trPr>
          <w:gridAfter w:val="1"/>
          <w:wAfter w:w="446" w:type="dxa"/>
          <w:cantSplit/>
        </w:trPr>
        <w:tc>
          <w:tcPr>
            <w:tcW w:w="10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264D8B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64D8B" w:rsidRPr="008C5EEE" w:rsidTr="00264D8B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64D8B" w:rsidRPr="009534E2" w:rsidRDefault="00264D8B" w:rsidP="00264D8B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56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67AF5" w:rsidRDefault="00264D8B" w:rsidP="00264D8B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64D8B" w:rsidRPr="00F02C8C" w:rsidRDefault="00264D8B" w:rsidP="00264D8B">
            <w:pPr>
              <w:jc w:val="both"/>
              <w:rPr>
                <w:b/>
                <w:i/>
              </w:rPr>
            </w:pPr>
          </w:p>
        </w:tc>
        <w:tc>
          <w:tcPr>
            <w:tcW w:w="21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</w:t>
      </w:r>
      <w:proofErr w:type="spellStart"/>
      <w:r w:rsidR="00F55C66">
        <w:rPr>
          <w:b/>
          <w:sz w:val="20"/>
          <w:szCs w:val="20"/>
        </w:rPr>
        <w:t>Новоатьяловская</w:t>
      </w:r>
      <w:proofErr w:type="spellEnd"/>
      <w:r w:rsidR="00F55C66">
        <w:rPr>
          <w:b/>
          <w:sz w:val="20"/>
          <w:szCs w:val="20"/>
        </w:rPr>
        <w:t xml:space="preserve"> СОШ» «</w:t>
      </w:r>
      <w:proofErr w:type="spellStart"/>
      <w:r w:rsidR="00F55C66">
        <w:rPr>
          <w:b/>
          <w:sz w:val="20"/>
          <w:szCs w:val="20"/>
        </w:rPr>
        <w:t>Асланинская</w:t>
      </w:r>
      <w:proofErr w:type="spellEnd"/>
      <w:r w:rsidR="00F55C66">
        <w:rPr>
          <w:b/>
          <w:sz w:val="20"/>
          <w:szCs w:val="20"/>
        </w:rPr>
        <w:t xml:space="preserve">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0F124A" w:rsidRPr="00151CD7" w:rsidRDefault="00151CD7" w:rsidP="00151CD7">
      <w:pPr>
        <w:rPr>
          <w:rFonts w:eastAsia="Calibri"/>
        </w:rPr>
      </w:pPr>
      <w:r>
        <w:rPr>
          <w:rFonts w:eastAsia="Calibri"/>
        </w:rPr>
        <w:t xml:space="preserve">    </w:t>
      </w: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</w:t>
      </w:r>
      <w:proofErr w:type="spellStart"/>
      <w:r w:rsidR="00573FA2">
        <w:rPr>
          <w:b/>
          <w:sz w:val="20"/>
          <w:szCs w:val="20"/>
        </w:rPr>
        <w:t>Новоатьяловская</w:t>
      </w:r>
      <w:proofErr w:type="spellEnd"/>
      <w:r w:rsidR="00573FA2">
        <w:rPr>
          <w:b/>
          <w:sz w:val="20"/>
          <w:szCs w:val="20"/>
        </w:rPr>
        <w:t xml:space="preserve"> СОШ» «</w:t>
      </w:r>
      <w:proofErr w:type="gramStart"/>
      <w:r w:rsidR="00573FA2">
        <w:rPr>
          <w:b/>
          <w:sz w:val="20"/>
          <w:szCs w:val="20"/>
        </w:rPr>
        <w:t>Ивановская</w:t>
      </w:r>
      <w:proofErr w:type="gramEnd"/>
      <w:r w:rsidR="00573FA2">
        <w:rPr>
          <w:b/>
          <w:sz w:val="20"/>
          <w:szCs w:val="20"/>
        </w:rPr>
        <w:t xml:space="preserve">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96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</w:t>
      </w:r>
      <w:proofErr w:type="spellStart"/>
      <w:r w:rsidR="00D97BBE">
        <w:rPr>
          <w:b/>
          <w:sz w:val="20"/>
          <w:szCs w:val="20"/>
        </w:rPr>
        <w:t>Новоатьяловская</w:t>
      </w:r>
      <w:proofErr w:type="spellEnd"/>
      <w:r w:rsidR="00D97BBE">
        <w:rPr>
          <w:b/>
          <w:sz w:val="20"/>
          <w:szCs w:val="20"/>
        </w:rPr>
        <w:t xml:space="preserve"> СОШ» «</w:t>
      </w:r>
      <w:proofErr w:type="spellStart"/>
      <w:r w:rsidR="00D97BBE">
        <w:rPr>
          <w:b/>
          <w:sz w:val="20"/>
          <w:szCs w:val="20"/>
        </w:rPr>
        <w:t>Старокавдыкская</w:t>
      </w:r>
      <w:proofErr w:type="spellEnd"/>
      <w:r w:rsidR="00D97BBE">
        <w:rPr>
          <w:b/>
          <w:sz w:val="20"/>
          <w:szCs w:val="20"/>
        </w:rPr>
        <w:t xml:space="preserve">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655739" w:rsidRPr="008C5EEE" w:rsidTr="00444903">
        <w:trPr>
          <w:cantSplit/>
          <w:trHeight w:val="85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9534E2" w:rsidRDefault="00655739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6B3D8F" w:rsidRDefault="00655739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5739" w:rsidRPr="008C5EEE" w:rsidRDefault="00655739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7"/>
        <w:tblpPr w:leftFromText="180" w:rightFromText="180" w:vertAnchor="text" w:horzAnchor="margin" w:tblpX="-528" w:tblpY="277"/>
        <w:tblW w:w="11448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4252"/>
        <w:gridCol w:w="4394"/>
      </w:tblGrid>
      <w:tr w:rsidR="009E218C" w:rsidRPr="007F287B" w:rsidTr="00AA075C">
        <w:trPr>
          <w:trHeight w:val="428"/>
        </w:trPr>
        <w:tc>
          <w:tcPr>
            <w:tcW w:w="959" w:type="dxa"/>
            <w:vMerge w:val="restart"/>
          </w:tcPr>
          <w:p w:rsidR="009E218C" w:rsidRPr="007F287B" w:rsidRDefault="009E218C" w:rsidP="00AA075C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1843" w:type="dxa"/>
            <w:vMerge w:val="restart"/>
          </w:tcPr>
          <w:p w:rsidR="009E218C" w:rsidRPr="007F287B" w:rsidRDefault="009E218C" w:rsidP="00AA075C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252" w:type="dxa"/>
            <w:vMerge w:val="restart"/>
          </w:tcPr>
          <w:p w:rsidR="009E218C" w:rsidRPr="007F287B" w:rsidRDefault="009E218C" w:rsidP="00AA075C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</w:tc>
        <w:tc>
          <w:tcPr>
            <w:tcW w:w="4394" w:type="dxa"/>
            <w:vMerge w:val="restart"/>
          </w:tcPr>
          <w:p w:rsidR="009E218C" w:rsidRPr="007F287B" w:rsidRDefault="009E218C" w:rsidP="00AA075C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9E218C" w:rsidRPr="007F287B" w:rsidTr="00AA075C">
        <w:trPr>
          <w:trHeight w:val="362"/>
        </w:trPr>
        <w:tc>
          <w:tcPr>
            <w:tcW w:w="959" w:type="dxa"/>
            <w:vMerge/>
            <w:vAlign w:val="center"/>
          </w:tcPr>
          <w:p w:rsidR="009E218C" w:rsidRPr="007F287B" w:rsidRDefault="009E218C" w:rsidP="00AA07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E218C" w:rsidRPr="007F287B" w:rsidRDefault="009E218C" w:rsidP="00AA075C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9E218C" w:rsidRPr="007F287B" w:rsidRDefault="009E218C" w:rsidP="00AA075C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9E218C" w:rsidRPr="007F287B" w:rsidRDefault="009E218C" w:rsidP="00AA075C">
            <w:pPr>
              <w:rPr>
                <w:b/>
                <w:sz w:val="20"/>
                <w:szCs w:val="20"/>
              </w:rPr>
            </w:pPr>
          </w:p>
        </w:tc>
      </w:tr>
    </w:tbl>
    <w:p w:rsidR="009E218C" w:rsidRDefault="00172E1E" w:rsidP="009E218C">
      <w:pPr>
        <w:pStyle w:val="a5"/>
        <w:shd w:val="clear" w:color="auto" w:fill="FFFFFF"/>
        <w:ind w:firstLine="0"/>
        <w:jc w:val="right"/>
        <w:rPr>
          <w:i/>
        </w:rPr>
      </w:pPr>
      <w:r>
        <w:rPr>
          <w:i/>
        </w:rPr>
        <w:t>п</w:t>
      </w:r>
      <w:r w:rsidR="009E218C" w:rsidRPr="00065FD0">
        <w:rPr>
          <w:i/>
        </w:rPr>
        <w:t>риложение</w:t>
      </w:r>
      <w:r>
        <w:rPr>
          <w:i/>
        </w:rPr>
        <w:t xml:space="preserve"> 1</w:t>
      </w:r>
    </w:p>
    <w:tbl>
      <w:tblPr>
        <w:tblStyle w:val="af6"/>
        <w:tblpPr w:leftFromText="180" w:rightFromText="180" w:vertAnchor="text" w:horzAnchor="margin" w:tblpXSpec="center" w:tblpY="626"/>
        <w:tblW w:w="11448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252"/>
        <w:gridCol w:w="4394"/>
      </w:tblGrid>
      <w:tr w:rsidR="00AA075C" w:rsidRPr="00AA075C" w:rsidTr="00AA075C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10</w:t>
            </w: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Рыбченковой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4394" w:type="dxa"/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(базовый и профильный  уровень)  – М.: Русское слово, 2015г.</w:t>
            </w:r>
          </w:p>
        </w:tc>
      </w:tr>
      <w:tr w:rsidR="00AA075C" w:rsidRPr="00AA075C" w:rsidTr="00AA075C">
        <w:trPr>
          <w:trHeight w:val="8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Литература 10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., базовый уровень,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Ю.В.Лебедев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 Москва: Просвещение 2014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Примерная  программа среднего (полного) общего образования по литературе  и программа  по литературе для 10-11  классов  для общеобразовательных учреждений  (авторы: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В.П.Журавлёв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Ю.В.Лебедев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В.И.Коровин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др.)</w:t>
            </w:r>
            <w:proofErr w:type="gramEnd"/>
          </w:p>
        </w:tc>
        <w:tc>
          <w:tcPr>
            <w:tcW w:w="4394" w:type="dxa"/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Литература.  О.Н. Михайлов, И. О. Шайтанов, В.А.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Чалмаев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(Базовый уровень) в двух частях  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Под ред. В.П. Журавлёва 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М.: Просвещение 2017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10 класса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Титул. 2010 г.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«Английский с удовольствием» 10класс,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М.З. и др., 4-е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Астрель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2016 г.</w:t>
            </w:r>
          </w:p>
        </w:tc>
      </w:tr>
      <w:tr w:rsidR="00AA075C" w:rsidRPr="00AA075C" w:rsidTr="00AA075C">
        <w:trPr>
          <w:trHeight w:val="130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  <w:r w:rsidR="00E804BD">
              <w:rPr>
                <w:b/>
                <w:color w:val="000000" w:themeColor="text1"/>
                <w:sz w:val="20"/>
                <w:szCs w:val="20"/>
              </w:rPr>
              <w:t>и начала анализа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ind w:right="-108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 одобрена решением федерального учебно-методического объединения по общему образованию</w:t>
            </w:r>
            <w:r w:rsidRPr="00AA075C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А.Г. Мордкович  Алгебра и начала математического анализа. 10-11 класс:</w:t>
            </w: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 xml:space="preserve"> (базовый и профильный уровни) – М.: Просвещение, 2016 - М: Мнемозина, 2013 </w:t>
            </w:r>
          </w:p>
        </w:tc>
      </w:tr>
      <w:tr w:rsidR="00AA075C" w:rsidRPr="00AA075C" w:rsidTr="00AA075C">
        <w:trPr>
          <w:trHeight w:val="11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bCs/>
                <w:color w:val="000000" w:themeColor="text1"/>
                <w:sz w:val="20"/>
                <w:szCs w:val="20"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(базовый и профильный уровни) – М.: Просвещение, 2016 г.</w:t>
            </w:r>
          </w:p>
        </w:tc>
      </w:tr>
      <w:tr w:rsidR="00AA075C" w:rsidRPr="00AA075C" w:rsidTr="00AA075C">
        <w:trPr>
          <w:trHeight w:val="2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bCs/>
                <w:color w:val="000000" w:themeColor="text1"/>
                <w:sz w:val="20"/>
                <w:szCs w:val="20"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Алгебра и начала математического анализа. 10-11 классы.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Ш.А.Алимов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Ю.М.Колягин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М.В.Ткачёва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Н.Е.Фёдорова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М.И.Шабун6ин М., «Просвещение», 2017г.</w:t>
            </w:r>
          </w:p>
        </w:tc>
      </w:tr>
      <w:tr w:rsidR="00AA075C" w:rsidRPr="00AA075C" w:rsidTr="00AA075C">
        <w:trPr>
          <w:trHeight w:val="87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Геометрия 10-11 класс. Л.С.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 2002-2013 г.</w:t>
            </w:r>
          </w:p>
        </w:tc>
      </w:tr>
      <w:tr w:rsidR="00AA075C" w:rsidRPr="00AA075C" w:rsidTr="00AA075C">
        <w:trPr>
          <w:trHeight w:val="21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Геометрия. 10-11 </w:t>
            </w:r>
            <w:proofErr w:type="spell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 xml:space="preserve">. составитель </w:t>
            </w:r>
            <w:proofErr w:type="spell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Бурмистрова</w:t>
            </w:r>
            <w:proofErr w:type="spellEnd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 xml:space="preserve"> Т.А. – </w:t>
            </w:r>
            <w:proofErr w:type="spell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Геометрия, Погорелов А.В., 2015</w:t>
            </w:r>
          </w:p>
        </w:tc>
      </w:tr>
      <w:tr w:rsidR="00AA075C" w:rsidRPr="00AA075C" w:rsidTr="00AA075C">
        <w:trPr>
          <w:trHeight w:val="82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Примерная программа курса «Информатика и ИКТ» для 10-11 классов, (Базовый уровень)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И.Г.Семакин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2012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«Информатика и ИКТ- 10-11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.»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И.Г.Семакин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др.  М. Бином 2012 г.</w:t>
            </w:r>
          </w:p>
        </w:tc>
      </w:tr>
      <w:tr w:rsidR="00AA075C" w:rsidRPr="00AA075C" w:rsidTr="00AA075C">
        <w:trPr>
          <w:trHeight w:val="91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для общеобразовательных школ по информатике 5-11 </w:t>
            </w:r>
            <w:proofErr w:type="spell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. – М.: Просвещение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Информатика, Макарова Н.В., 2003</w:t>
            </w:r>
          </w:p>
        </w:tc>
      </w:tr>
      <w:tr w:rsidR="00AA075C" w:rsidRPr="00AA075C" w:rsidTr="00AA075C">
        <w:trPr>
          <w:trHeight w:val="174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proofErr w:type="gram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 xml:space="preserve"> Информатика. 2 - 11 классы» - 2 - е издание, исправленное и дополненное. М.: БИНОМ. </w:t>
            </w:r>
            <w:proofErr w:type="gram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Лаборатория  знаний, 2005).</w:t>
            </w:r>
            <w:proofErr w:type="gramEnd"/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Информатика и ИКТ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Угринович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Н.Д. М.:БИНОМ, 2015г.</w:t>
            </w:r>
          </w:p>
        </w:tc>
      </w:tr>
      <w:tr w:rsidR="00AA075C" w:rsidRPr="00AA075C" w:rsidTr="00AA075C">
        <w:trPr>
          <w:trHeight w:val="1095"/>
        </w:trPr>
        <w:tc>
          <w:tcPr>
            <w:tcW w:w="851" w:type="dxa"/>
            <w:vMerge/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к курсу «Всеобщая история с древнейших времен до конца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  в.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Н.В.Загладин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Х.Т.Загладин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Просвещение 2011 г.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История России и мира с древнейших времен до конца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 века.10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., Н.В.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Загладин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Н.А.Симония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Русское слово. 2013 г.</w:t>
            </w:r>
          </w:p>
        </w:tc>
      </w:tr>
      <w:tr w:rsidR="00AA075C" w:rsidRPr="00AA075C" w:rsidTr="00AA075C">
        <w:trPr>
          <w:trHeight w:val="1380"/>
        </w:trPr>
        <w:tc>
          <w:tcPr>
            <w:tcW w:w="851" w:type="dxa"/>
            <w:vMerge/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к учебнику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А.Н.Сахарова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В.И.Буганова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(1 часть),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В.И.Буганова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П.Н.Зырянова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(2 часть) «История России с древнейших времен до конца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 в. М. Просвещение 2011г. 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История России, 10 класс А.Н. Сахаров,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В.И.Буганов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,. 2013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Программа (базовая) для общеобразовательных учреждений. Обществознание. Л.Н. Боголюбов и др. М. Просвещение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Обществознание базовый  уровень 10 класс,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Л.Н.Боголюбова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А.Ю.Лабезникова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Просвещение 2012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география. Оценка качества подготовки выпускников основной школы.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 Дрофа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Экономическая и социальная география мира.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В.П.Максаковский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Просвещение ,2010 г.</w:t>
            </w:r>
          </w:p>
        </w:tc>
      </w:tr>
      <w:tr w:rsidR="00AA075C" w:rsidRPr="00AA075C" w:rsidTr="00AA075C">
        <w:trPr>
          <w:trHeight w:val="72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252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биологии к комплекту учебников, 5-11 классы, созданных под руководством.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Москва. Дрофа, 2011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Общая биология,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В.И.Сивоглазов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М. Дрофа 2011 г.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A075C" w:rsidRPr="00AA075C" w:rsidTr="00AA075C">
        <w:trPr>
          <w:trHeight w:val="61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Биология. 10 класс,  Пасечник В. В. И др., линия жизни , 7-е изд. М: Просвещение. 2019 г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A075C" w:rsidRPr="00AA075C" w:rsidTr="00AA075C">
        <w:trPr>
          <w:trHeight w:val="90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Биология. 10-11 </w:t>
            </w:r>
            <w:proofErr w:type="spellStart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. М.: - Дрофа.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spacing w:before="240" w:after="24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AA075C">
              <w:rPr>
                <w:rFonts w:eastAsia="Arial"/>
                <w:color w:val="000000" w:themeColor="text1"/>
                <w:sz w:val="20"/>
                <w:szCs w:val="20"/>
              </w:rPr>
              <w:t>Общая биология, Захаров, Мамонтов,  2014, Дрофа.</w:t>
            </w:r>
          </w:p>
        </w:tc>
      </w:tr>
      <w:tr w:rsidR="00AA075C" w:rsidRPr="00AA075C" w:rsidTr="00AA075C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к комплекту учебников, созданных под руководством В. В. Пасечника / авт.-сост. Г. М.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Пальдяева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— М: Дрофа, 2014 г.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Общая биология.  Каменский А.А.,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Криксунов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Е.А., Пасечник В.В. 10-11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(базовый уровень). – М.: Дрофа, 2014 г.</w:t>
            </w:r>
          </w:p>
        </w:tc>
      </w:tr>
      <w:tr w:rsidR="00AA075C" w:rsidRPr="00AA075C" w:rsidTr="00AA075C">
        <w:trPr>
          <w:trHeight w:val="7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Физика           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среднего (полного) общего образования.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П.Г.Саенко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Просвещение 2010 г.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Физика. С.В. Громов, Москва. Дрофа. 2010 г.</w:t>
            </w:r>
          </w:p>
        </w:tc>
      </w:tr>
      <w:tr w:rsidR="00AA075C" w:rsidRPr="00AA075C" w:rsidTr="00AA075C">
        <w:trPr>
          <w:trHeight w:val="294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A075C">
              <w:rPr>
                <w:bCs/>
                <w:color w:val="000000" w:themeColor="text1"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Физика.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Мякишев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Г.Я.,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Буховцев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Б.Б., Сотский Н.Н. М.: Просвещение, 2014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химии, для 8-11 классов,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Химия 10 класс,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Дрофа, 2012 г.  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Планирование на основании программы по мировой художественной культуре для 10-11 классов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Мировая художественная культура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2014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Физическая культура. 10-11 классы.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Просвещение. 2012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Комплексная учебная программа для общеобразовательных учреждений 5-11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Просвещение. 2012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«Основы безопасности жизнедеятельности»,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 Москва. Просвещение, 2011г.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394" w:type="dxa"/>
            <w:shd w:val="clear" w:color="auto" w:fill="auto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Технология. 10-11 класс, базовый уровень,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др.,6-е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изд.</w:t>
            </w: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Издат-ий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центр "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-Граф" 2020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«Татарский язык» 10 класс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Казань. Просвещение, 2010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«Татарская литература» 10  класс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М.Х.Гайнуллин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11</w:t>
            </w: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школ.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А.И.Власенков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Л.М.Рыбченкова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М. Просвещение. 2011 г.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Русский язык, А.И Власенков и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Л.М.Рыбченкова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Просвещение, 2008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</w:t>
            </w:r>
            <w:r w:rsidRPr="00AA075C">
              <w:rPr>
                <w:color w:val="000000" w:themeColor="text1"/>
                <w:sz w:val="20"/>
                <w:szCs w:val="20"/>
              </w:rPr>
              <w:lastRenderedPageBreak/>
              <w:t xml:space="preserve">под редакцией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Москва, Просвещение 2010 г.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lastRenderedPageBreak/>
              <w:t xml:space="preserve">Литература 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,б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 xml:space="preserve">азовый уровень, под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редак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AA075C">
              <w:rPr>
                <w:color w:val="000000" w:themeColor="text1"/>
                <w:sz w:val="20"/>
                <w:szCs w:val="20"/>
              </w:rPr>
              <w:lastRenderedPageBreak/>
              <w:t>В.П. Журавлева, 4-е изд.,  Москва: Просвещение 2017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11 класса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Титул. 2010 г.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«Английский с удовольствием» 9класс,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М.З. и др., 3-е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>:  Титул. 2013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  <w:r w:rsidR="00E804BD">
              <w:rPr>
                <w:b/>
                <w:color w:val="000000" w:themeColor="text1"/>
                <w:sz w:val="20"/>
                <w:szCs w:val="20"/>
              </w:rPr>
              <w:t>и начала анализа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Авторская программа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И.И.Зубаревой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А.Г.Мордкович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Мнемозина.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Мордкович А.Г., Алгебра и начала математического анализа. Москва. Мнемозина – 2012 г.</w:t>
            </w:r>
          </w:p>
        </w:tc>
      </w:tr>
      <w:tr w:rsidR="00AA075C" w:rsidRPr="00AA075C" w:rsidTr="00AA075C">
        <w:trPr>
          <w:trHeight w:val="60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Геометрия 10-11 класс. Л.С.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 2013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Примерная программа курса «Информатика и ИКТ» для 10-11 классов, (Базовый уровень)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И.Г.Семакин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2012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«Информатика и ИКТ- 10-11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.»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И.Г.Семакин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др.  М. Бином 2012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252" w:type="dxa"/>
            <w:tcBorders>
              <w:top w:val="nil"/>
            </w:tcBorders>
          </w:tcPr>
          <w:p w:rsidR="00AA075C" w:rsidRPr="00AA075C" w:rsidRDefault="00AA075C" w:rsidP="00AA075C">
            <w:pPr>
              <w:shd w:val="clear" w:color="auto" w:fill="F9F9F9" w:themeFill="background1"/>
              <w:ind w:right="-75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к курсу «Всеобщая история. Конец 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 –начало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  в.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Н.В.Загладин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Х.Т.Загладин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Русское слово 2012 г.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к курсу «История России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-начало </w:t>
            </w:r>
            <w:r w:rsidRPr="00AA075C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r w:rsidRPr="00AA075C">
              <w:rPr>
                <w:color w:val="000000" w:themeColor="text1"/>
                <w:sz w:val="20"/>
                <w:szCs w:val="20"/>
              </w:rPr>
              <w:t xml:space="preserve"> в.»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В.А.Шестаков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А.И.Сахаров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В.И.Буганов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Просвещение 2011г.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Всеобщая история 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A075C">
              <w:rPr>
                <w:color w:val="000000" w:themeColor="text1"/>
                <w:sz w:val="20"/>
                <w:szCs w:val="20"/>
              </w:rPr>
              <w:t>,Н</w:t>
            </w:r>
            <w:proofErr w:type="gramEnd"/>
            <w:r w:rsidRPr="00AA075C">
              <w:rPr>
                <w:color w:val="000000" w:themeColor="text1"/>
                <w:sz w:val="20"/>
                <w:szCs w:val="20"/>
              </w:rPr>
              <w:t xml:space="preserve">.В.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Загладин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др.: 2013 г.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История России, 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В.А.Шестаков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2013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Программа (профильная) для общеобразовательных учреждений. Обществознание. Л.Н. Боголюбов и др. М. Просвещение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Обществознание профильный уровень 11 класс,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Л.Н.Боголюбова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А.Ю.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Лабезникова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Просвещение 2012 г.</w:t>
            </w:r>
          </w:p>
        </w:tc>
      </w:tr>
      <w:tr w:rsidR="00AA075C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география. Оценка качества подготовки выпускников основной школы.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 Дрофа 2010 г.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Экономическая и социальная география мира.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В.П.Максаковский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  Просвещение ,2010 г.</w:t>
            </w:r>
          </w:p>
        </w:tc>
      </w:tr>
      <w:tr w:rsidR="00AA075C" w:rsidRPr="00AA075C" w:rsidTr="00AA075C">
        <w:trPr>
          <w:trHeight w:val="55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252" w:type="dxa"/>
            <w:vMerge w:val="restart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биологии к комплекту учебников, 5-11 классы, созданных под руководством.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Москва. Дрофа, 2011</w:t>
            </w: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Биология. 11 класс,  Пасечник В. В. И др., линия жизни , 7-е изд. М: Просвещение. 2019 г</w:t>
            </w:r>
          </w:p>
        </w:tc>
      </w:tr>
      <w:tr w:rsidR="00AA075C" w:rsidRPr="00AA075C" w:rsidTr="00AA075C">
        <w:trPr>
          <w:trHeight w:val="58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Общая биология,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В.И.Сивоглазов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М. Дрофа 2011 г.</w:t>
            </w:r>
          </w:p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A075C" w:rsidRPr="00AA075C" w:rsidTr="00AA075C">
        <w:trPr>
          <w:trHeight w:val="64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A075C" w:rsidRPr="00AA075C" w:rsidRDefault="00AA075C" w:rsidP="00AA075C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252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среднего (полного) общего образования.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П.Г.Саенко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 Просвещение 2010 г.</w:t>
            </w:r>
          </w:p>
        </w:tc>
        <w:tc>
          <w:tcPr>
            <w:tcW w:w="4394" w:type="dxa"/>
          </w:tcPr>
          <w:p w:rsidR="00AA075C" w:rsidRPr="00AA075C" w:rsidRDefault="00AA075C" w:rsidP="00AA075C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>«Физика». С.В. Громов, Москва. Дрофа. 2010 г.</w:t>
            </w:r>
          </w:p>
        </w:tc>
      </w:tr>
      <w:tr w:rsidR="001253CD" w:rsidRPr="00AA075C" w:rsidTr="00AA075C">
        <w:trPr>
          <w:trHeight w:val="26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 w:colFirst="1" w:colLast="3"/>
          </w:p>
        </w:tc>
        <w:tc>
          <w:tcPr>
            <w:tcW w:w="1951" w:type="dxa"/>
          </w:tcPr>
          <w:p w:rsidR="001253CD" w:rsidRPr="001253CD" w:rsidRDefault="001253CD" w:rsidP="001253CD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1253CD"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4252" w:type="dxa"/>
          </w:tcPr>
          <w:p w:rsidR="001253CD" w:rsidRPr="00001D41" w:rsidRDefault="001253CD" w:rsidP="001253CD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 xml:space="preserve">Авторская программа по астрономии </w:t>
            </w: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ельяминов. М.: Дрофа, 2018 г.</w:t>
            </w:r>
          </w:p>
        </w:tc>
        <w:tc>
          <w:tcPr>
            <w:tcW w:w="4394" w:type="dxa"/>
          </w:tcPr>
          <w:p w:rsidR="001253CD" w:rsidRPr="00001D41" w:rsidRDefault="001253CD" w:rsidP="001253CD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 Астрономия М.: Дрофа, 2018 г.</w:t>
            </w:r>
          </w:p>
        </w:tc>
      </w:tr>
      <w:bookmarkEnd w:id="0"/>
      <w:tr w:rsidR="001253CD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252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химии, для 8-11 классов,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Дрофа. 2010 г.</w:t>
            </w:r>
          </w:p>
        </w:tc>
        <w:tc>
          <w:tcPr>
            <w:tcW w:w="4394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Химия 11 класс,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Дрофа, 2014 г.  </w:t>
            </w:r>
          </w:p>
        </w:tc>
      </w:tr>
      <w:tr w:rsidR="001253CD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4252" w:type="dxa"/>
          </w:tcPr>
          <w:p w:rsidR="001253CD" w:rsidRPr="00AA075C" w:rsidRDefault="001253CD" w:rsidP="001253CD">
            <w:pPr>
              <w:shd w:val="clear" w:color="auto" w:fill="F9F9F9" w:themeFill="background1"/>
              <w:ind w:right="-75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Планирование на основании программы по мировой художественной культуре для 10-11 классов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2010 г.</w:t>
            </w:r>
          </w:p>
        </w:tc>
        <w:tc>
          <w:tcPr>
            <w:tcW w:w="4394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Мировая художественная культура 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Л.А.Рапацкая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Владос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2012 г.</w:t>
            </w:r>
          </w:p>
        </w:tc>
      </w:tr>
      <w:tr w:rsidR="001253CD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Просвещение. 2010 г.</w:t>
            </w:r>
          </w:p>
        </w:tc>
        <w:tc>
          <w:tcPr>
            <w:tcW w:w="4394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Физическая культура. 10-11 классы.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Просвещение. 2012 г.</w:t>
            </w:r>
          </w:p>
        </w:tc>
      </w:tr>
      <w:tr w:rsidR="001253CD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252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Комплексная учебная программа для общеобразовательных учреждений 5-11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Москва. Просвещение. 2012 г.</w:t>
            </w:r>
          </w:p>
        </w:tc>
        <w:tc>
          <w:tcPr>
            <w:tcW w:w="4394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«Основы безопасности жизнедеятельности»,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А.Т.Смирнов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 Москва. Просвещение, 2011г.</w:t>
            </w:r>
          </w:p>
        </w:tc>
      </w:tr>
      <w:tr w:rsidR="001253CD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. М.: Просвещение .2010 г.</w:t>
            </w:r>
          </w:p>
        </w:tc>
        <w:tc>
          <w:tcPr>
            <w:tcW w:w="4394" w:type="dxa"/>
            <w:shd w:val="clear" w:color="auto" w:fill="CCC0D9" w:themeFill="accent4" w:themeFillTint="66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Технология. 10-11 класс, базовый уровень,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и др.,6-е изд. Москва</w:t>
            </w:r>
          </w:p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Издат-ий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центр "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-Граф" 2020 г.</w:t>
            </w:r>
          </w:p>
        </w:tc>
      </w:tr>
      <w:tr w:rsidR="001253CD" w:rsidRPr="00AA075C" w:rsidTr="00AA075C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Татарский язык</w:t>
            </w:r>
          </w:p>
        </w:tc>
        <w:tc>
          <w:tcPr>
            <w:tcW w:w="4252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394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«Татарский язык» 11 класс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1253CD" w:rsidRPr="00AA075C" w:rsidTr="00AA075C">
        <w:trPr>
          <w:trHeight w:val="749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1253CD" w:rsidRPr="00AA075C" w:rsidRDefault="001253CD" w:rsidP="001253CD">
            <w:pPr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A075C">
              <w:rPr>
                <w:b/>
                <w:color w:val="000000" w:themeColor="text1"/>
                <w:sz w:val="20"/>
                <w:szCs w:val="20"/>
              </w:rPr>
              <w:t>Татарская литература</w:t>
            </w:r>
          </w:p>
        </w:tc>
        <w:tc>
          <w:tcPr>
            <w:tcW w:w="4252" w:type="dxa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>», 2010 г.</w:t>
            </w:r>
          </w:p>
        </w:tc>
        <w:tc>
          <w:tcPr>
            <w:tcW w:w="4394" w:type="dxa"/>
            <w:vAlign w:val="center"/>
          </w:tcPr>
          <w:p w:rsidR="001253CD" w:rsidRPr="00AA075C" w:rsidRDefault="001253CD" w:rsidP="001253CD">
            <w:pPr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A075C">
              <w:rPr>
                <w:color w:val="000000" w:themeColor="text1"/>
                <w:sz w:val="20"/>
                <w:szCs w:val="20"/>
              </w:rPr>
              <w:t xml:space="preserve">«Татарская литература»,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А.Г.Ахмадуллин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альтернативный учебник </w:t>
            </w:r>
            <w:proofErr w:type="spellStart"/>
            <w:r w:rsidRPr="00AA075C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AA075C">
              <w:rPr>
                <w:color w:val="000000" w:themeColor="text1"/>
                <w:sz w:val="20"/>
                <w:szCs w:val="20"/>
              </w:rPr>
              <w:t xml:space="preserve"> «Литература» Казань. Просвещение 2010 г.</w:t>
            </w:r>
          </w:p>
        </w:tc>
      </w:tr>
    </w:tbl>
    <w:p w:rsidR="00D97BBE" w:rsidRDefault="00D97BBE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AA075C" w:rsidRPr="00AA075C" w:rsidRDefault="00AA075C" w:rsidP="00AA075C">
      <w:pPr>
        <w:shd w:val="clear" w:color="auto" w:fill="F9F9F9" w:themeFill="background1"/>
        <w:spacing w:after="200" w:line="276" w:lineRule="auto"/>
        <w:rPr>
          <w:rFonts w:eastAsiaTheme="minorEastAsia"/>
          <w:color w:val="000000" w:themeColor="text1"/>
          <w:sz w:val="20"/>
          <w:szCs w:val="20"/>
        </w:rPr>
      </w:pPr>
    </w:p>
    <w:p w:rsidR="008876F1" w:rsidRDefault="008876F1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sectPr w:rsidR="008876F1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70C1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253CD"/>
    <w:rsid w:val="00151CD7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4D8B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06126"/>
    <w:rsid w:val="004145CD"/>
    <w:rsid w:val="00422933"/>
    <w:rsid w:val="004248A7"/>
    <w:rsid w:val="00432432"/>
    <w:rsid w:val="00442536"/>
    <w:rsid w:val="004426F9"/>
    <w:rsid w:val="00444903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034"/>
    <w:rsid w:val="00582816"/>
    <w:rsid w:val="00585284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0239D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55739"/>
    <w:rsid w:val="00666514"/>
    <w:rsid w:val="00685BE0"/>
    <w:rsid w:val="00686F44"/>
    <w:rsid w:val="00691B07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66440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B74B7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457A"/>
    <w:rsid w:val="00865E66"/>
    <w:rsid w:val="00870DF0"/>
    <w:rsid w:val="0087331E"/>
    <w:rsid w:val="00874A82"/>
    <w:rsid w:val="00875C91"/>
    <w:rsid w:val="0088062A"/>
    <w:rsid w:val="00881B4A"/>
    <w:rsid w:val="008859D0"/>
    <w:rsid w:val="008876F1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329E7"/>
    <w:rsid w:val="00935224"/>
    <w:rsid w:val="00937B8D"/>
    <w:rsid w:val="00940DDC"/>
    <w:rsid w:val="009461D8"/>
    <w:rsid w:val="00954435"/>
    <w:rsid w:val="00955029"/>
    <w:rsid w:val="00972FE1"/>
    <w:rsid w:val="0097597A"/>
    <w:rsid w:val="0099318A"/>
    <w:rsid w:val="009A1D10"/>
    <w:rsid w:val="009A5F19"/>
    <w:rsid w:val="009C00B8"/>
    <w:rsid w:val="009C6D8C"/>
    <w:rsid w:val="009C7949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075C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65149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B5D25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46FAA"/>
    <w:rsid w:val="00E6406B"/>
    <w:rsid w:val="00E72FDF"/>
    <w:rsid w:val="00E773FF"/>
    <w:rsid w:val="00E804BD"/>
    <w:rsid w:val="00E824AA"/>
    <w:rsid w:val="00E83720"/>
    <w:rsid w:val="00E92B3E"/>
    <w:rsid w:val="00E92F0B"/>
    <w:rsid w:val="00E94C27"/>
    <w:rsid w:val="00EA1495"/>
    <w:rsid w:val="00EA357F"/>
    <w:rsid w:val="00EB1B18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2FCD-174E-4E71-8FDF-0AD2FAD7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6081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136</cp:revision>
  <cp:lastPrinted>2020-02-14T12:05:00Z</cp:lastPrinted>
  <dcterms:created xsi:type="dcterms:W3CDTF">2018-04-12T04:00:00Z</dcterms:created>
  <dcterms:modified xsi:type="dcterms:W3CDTF">2020-02-18T10:30:00Z</dcterms:modified>
</cp:coreProperties>
</file>