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E53A9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6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Pr="00AB4E5A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«Физическая культура» в 6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0F4" w:rsidRP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6160F4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F4" w:rsidRDefault="006160F4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уроке) 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CA7B85" w:rsidRPr="00AB4E5A" w:rsidRDefault="00CA7B8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11" w:rsidRPr="00AB4E5A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026" w:type="dxa"/>
        <w:tblInd w:w="-108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216D35" w:rsidRPr="00AB4E5A" w:rsidTr="00216D35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6579A" w:rsidRPr="00AB4E5A" w:rsidTr="005F7D95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AB4E5A" w:rsidRDefault="0016579A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216D35" w:rsidRPr="00AB4E5A" w:rsidTr="00216D35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1657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Высокий старт и скорост</w:t>
            </w:r>
            <w:r w:rsidR="0016579A" w:rsidRPr="00AB4E5A">
              <w:rPr>
                <w:rFonts w:ascii="Times New Roman" w:hAnsi="Times New Roman" w:cs="Times New Roman"/>
                <w:sz w:val="24"/>
                <w:szCs w:val="24"/>
              </w:rPr>
              <w:t>ной бег до 50 метров (2 серии).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</w:t>
            </w:r>
            <w:r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34F6">
              <w:rPr>
                <w:rFonts w:ascii="Times New Roman" w:hAnsi="Times New Roman" w:cs="Times New Roman"/>
                <w:i/>
                <w:sz w:val="24"/>
                <w:szCs w:val="24"/>
              </w:rPr>
              <w:t>Прыжок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длину с </w:t>
            </w:r>
            <w:proofErr w:type="gramStart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Прыжки в длину с 5 – 7 шагов разбега. Гладкий бег по стади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ону 6 минут – на результат.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Челночный бег – на результат.  Метание теннисного мяча с 4 – 5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шагов разбега на дальность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игры(8ч)</w:t>
            </w:r>
          </w:p>
          <w:p w:rsidR="00C734F6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Возрождение Олимпийских игр и олимпийского движения.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Олимпийское движение в России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Гимнастика(16)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49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ки. Упражнения на гибкость.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 Наклон вперед из положения стоя на скамье.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прогнувшись(м), смешанные висы(д).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Олимпийские игры.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4F208A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D35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два в колону по одному. Кувырок вперед и назад. Стойка на лопатках. Эстафеты.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лопатках. Эстафеты.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Физическая подготовка, ее связь с укреплением здоровья, развитием физических качеств</w:t>
            </w:r>
            <w:proofErr w:type="gramStart"/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</w:t>
            </w:r>
            <w:proofErr w:type="gramStart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</w:t>
            </w:r>
            <w:r w:rsidR="00B44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3AA" w:rsidRPr="00B443A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Подъём туловища из положения лёжа на спине.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с кубиками. Эстафеты. Дыхательные упражнения. Упражнения на гибкость. Прыжки со скакалкой.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упражнения тонического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скамейку.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подготовка(14ч)</w:t>
            </w:r>
          </w:p>
          <w:p w:rsidR="00CA7B85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B85" w:rsidRPr="00AB4E5A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Спорт и спортивная подготовка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Дистанция – 2км.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Торможение 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«плугом». Дистанция – 2 км.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«плугом». Дистанция – 1км. Игры на лыжах.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4F6" w:rsidRPr="00AB4E5A" w:rsidRDefault="00C734F6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F6" w:rsidRDefault="00D304D5" w:rsidP="00CA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игры(9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08352C">
        <w:trPr>
          <w:trHeight w:val="57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ловли и передачи мяча. Ведение мяча в низкой, средней и высокой стойке; а) на месте; б) шагом и бегом по </w:t>
            </w:r>
          </w:p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; в) с изменением направления движения и скорости.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прорывом.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Футбол.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304D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D304D5" w:rsidRDefault="00D304D5" w:rsidP="00D3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Национальные игры. (3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304D5" w:rsidRPr="00AB4E5A" w:rsidRDefault="00D304D5" w:rsidP="00D3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Лапта.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Хват биты. Упражнения с битой, имитационные удары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актика игры в защите и </w:t>
            </w:r>
            <w:proofErr w:type="gramStart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в  нападении</w:t>
            </w:r>
            <w:proofErr w:type="gramEnd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атлетика.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занятий.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Метание теннисного мяча с 4 – 5 шагов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разбега на дальность.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Нормативы ВФСК «ГТО» Метание снаряда весом 150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 Бег с низкого старта в гору.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52267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97CDD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7495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EF5E-C0F3-4B03-A14A-91E8BB51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2017-12-01T14:40:00Z</cp:lastPrinted>
  <dcterms:created xsi:type="dcterms:W3CDTF">2020-09-27T09:43:00Z</dcterms:created>
  <dcterms:modified xsi:type="dcterms:W3CDTF">2020-09-28T17:59:00Z</dcterms:modified>
</cp:coreProperties>
</file>