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 xml:space="preserve">Рособрнадзора от 25.12.15 </w:t>
      </w:r>
      <w:r w:rsidR="00B11A89">
        <w:rPr>
          <w:bCs/>
          <w:sz w:val="22"/>
          <w:szCs w:val="28"/>
          <w:lang w:eastAsia="en-US"/>
        </w:rPr>
        <w:t>№ </w:t>
      </w:r>
      <w:r w:rsidRPr="00ED0FE6">
        <w:rPr>
          <w:bCs/>
          <w:sz w:val="22"/>
          <w:szCs w:val="28"/>
          <w:lang w:eastAsia="en-US"/>
        </w:rPr>
        <w:t>01-311/10-01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F401F0" w:rsidP="00F401F0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eastAsia="en-US"/>
        </w:rPr>
        <w:t>Москва, 201</w:t>
      </w:r>
      <w:r w:rsidRPr="00ED0FE6">
        <w:rPr>
          <w:b/>
          <w:sz w:val="28"/>
          <w:szCs w:val="32"/>
          <w:lang w:val="en-US" w:eastAsia="en-US"/>
        </w:rPr>
        <w:t>6</w:t>
      </w:r>
    </w:p>
    <w:p w:rsidR="00243D19" w:rsidRPr="00ED0FE6" w:rsidRDefault="00243D19">
      <w:pPr>
        <w:spacing w:after="200" w:line="276" w:lineRule="auto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r w:rsidRPr="00ED0FE6">
        <w:rPr>
          <w:b/>
          <w:sz w:val="32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separate"/>
      </w:r>
      <w:hyperlink w:anchor="_Toc439320748" w:history="1">
        <w:r w:rsidRPr="00750F5D">
          <w:rPr>
            <w:rStyle w:val="a3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Нормативные правовые документы, регламентирующие порядок проведения ГИА для лиц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ВЗ, детей-инвалидов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и</w:t>
        </w:r>
        <w:r w:rsidRPr="00750F5D">
          <w:rPr>
            <w:rStyle w:val="a3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49" w:history="1">
        <w:r w:rsidRPr="00750F5D">
          <w:rPr>
            <w:rStyle w:val="a3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0" w:history="1">
        <w:r w:rsidRPr="00750F5D">
          <w:rPr>
            <w:rStyle w:val="a3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организации ППЭ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1" w:history="1">
        <w:r w:rsidRPr="00750F5D">
          <w:rPr>
            <w:rStyle w:val="a3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проведения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2" w:history="1">
        <w:r w:rsidRPr="00750F5D">
          <w:rPr>
            <w:rStyle w:val="a3"/>
            <w:noProof/>
          </w:rPr>
          <w:t>Запуск участников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р</w:t>
        </w:r>
        <w:r w:rsidRPr="00750F5D">
          <w:rPr>
            <w:rStyle w:val="a3"/>
            <w:noProof/>
          </w:rPr>
          <w:t>ассадка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3" w:history="1">
        <w:r w:rsidRPr="00750F5D">
          <w:rPr>
            <w:rStyle w:val="a3"/>
            <w:noProof/>
          </w:rPr>
          <w:t>Начало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4" w:history="1">
        <w:r w:rsidRPr="00750F5D">
          <w:rPr>
            <w:rStyle w:val="a3"/>
            <w:noProof/>
          </w:rPr>
          <w:t>Завершение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5" w:history="1">
        <w:r w:rsidRPr="00750F5D">
          <w:rPr>
            <w:rStyle w:val="a3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завершающего этапа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6" w:history="1">
        <w:r w:rsidRPr="00750F5D">
          <w:rPr>
            <w:rStyle w:val="a3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рассмотрения апелляций участников ГИА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7" w:history="1">
        <w:r w:rsidRPr="00750F5D">
          <w:rPr>
            <w:rStyle w:val="a3"/>
            <w:noProof/>
          </w:rPr>
          <w:t xml:space="preserve">Приложение 1. </w:t>
        </w:r>
        <w:r w:rsidRPr="0090464A">
          <w:rPr>
            <w:rStyle w:val="a3"/>
            <w:b w:val="0"/>
            <w:noProof/>
          </w:rPr>
          <w:t>Положение</w:t>
        </w:r>
        <w:r w:rsidR="00B11A89" w:rsidRPr="0090464A">
          <w:rPr>
            <w:rStyle w:val="a3"/>
            <w:b w:val="0"/>
            <w:noProof/>
          </w:rPr>
          <w:t xml:space="preserve"> 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К</w:t>
        </w:r>
        <w:r w:rsidRPr="0090464A">
          <w:rPr>
            <w:rStyle w:val="a3"/>
            <w:b w:val="0"/>
            <w:noProof/>
          </w:rPr>
          <w:t>омиссии тифлопереводчиков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8" w:history="1">
        <w:r w:rsidRPr="00750F5D">
          <w:rPr>
            <w:rStyle w:val="a3"/>
            <w:noProof/>
          </w:rPr>
          <w:t xml:space="preserve">Приложение 2. </w:t>
        </w:r>
        <w:r w:rsidRPr="0090464A">
          <w:rPr>
            <w:rStyle w:val="a3"/>
            <w:b w:val="0"/>
            <w:noProof/>
          </w:rPr>
          <w:t>Памятка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лабовидящих участников ГИА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Pr="0090464A">
          <w:rPr>
            <w:rStyle w:val="a3"/>
            <w:b w:val="0"/>
            <w:noProof/>
          </w:rPr>
          <w:t>аполнению шрифтом Брайля тетрадей для ответов</w:t>
        </w:r>
        <w:r w:rsidR="00B11A89" w:rsidRPr="0090464A">
          <w:rPr>
            <w:rStyle w:val="a3"/>
            <w:b w:val="0"/>
            <w:noProof/>
          </w:rPr>
          <w:t xml:space="preserve"> на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Pr="0090464A">
          <w:rPr>
            <w:rStyle w:val="a3"/>
            <w:b w:val="0"/>
            <w:noProof/>
          </w:rPr>
          <w:t>адания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9" w:history="1">
        <w:r w:rsidRPr="00750F5D">
          <w:rPr>
            <w:rStyle w:val="a3"/>
            <w:noProof/>
          </w:rPr>
          <w:t xml:space="preserve">Приложение 3. </w:t>
        </w:r>
        <w:r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Pr="0090464A">
          <w:rPr>
            <w:rStyle w:val="a3"/>
            <w:b w:val="0"/>
            <w:noProof/>
          </w:rPr>
          <w:t>удитории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лабовидящих участников ГИА, пользующихся системой Брайля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0" w:history="1">
        <w:r w:rsidRPr="00750F5D">
          <w:rPr>
            <w:rStyle w:val="a3"/>
            <w:noProof/>
          </w:rPr>
          <w:t xml:space="preserve">Приложение 4. </w:t>
        </w:r>
        <w:r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Pr="0090464A">
          <w:rPr>
            <w:rStyle w:val="a3"/>
            <w:b w:val="0"/>
            <w:noProof/>
          </w:rPr>
          <w:t>удитории для слабовидящих участников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1" w:history="1">
        <w:r w:rsidRPr="00750F5D">
          <w:rPr>
            <w:rStyle w:val="a3"/>
            <w:noProof/>
          </w:rPr>
          <w:t xml:space="preserve">Приложение 5. </w:t>
        </w:r>
        <w:r w:rsidRPr="0090464A">
          <w:rPr>
            <w:rStyle w:val="a3"/>
            <w:b w:val="0"/>
            <w:noProof/>
          </w:rPr>
          <w:t>Памятка для руководителя пункта проведения экзаменов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 (или пункта</w:t>
        </w:r>
        <w:r w:rsidR="00B11A89" w:rsidRPr="0090464A">
          <w:rPr>
            <w:rStyle w:val="a3"/>
            <w:b w:val="0"/>
            <w:noProof/>
          </w:rPr>
          <w:t xml:space="preserve"> со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пециальной аудиторией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2" w:history="1">
        <w:r w:rsidRPr="00750F5D">
          <w:rPr>
            <w:rStyle w:val="a3"/>
            <w:noProof/>
          </w:rPr>
          <w:t xml:space="preserve">Приложение 6. </w:t>
        </w:r>
        <w:r w:rsidRPr="0090464A">
          <w:rPr>
            <w:rStyle w:val="a3"/>
            <w:b w:val="0"/>
            <w:noProof/>
          </w:rPr>
          <w:t>Памятка для члена ГЭК субъекта Российской Федерации для проведения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3" w:history="1">
        <w:r w:rsidRPr="00750F5D">
          <w:rPr>
            <w:rStyle w:val="a3"/>
            <w:noProof/>
          </w:rPr>
          <w:t xml:space="preserve">Приложение 7. </w:t>
        </w:r>
        <w:r w:rsidRPr="0090464A">
          <w:rPr>
            <w:rStyle w:val="a3"/>
            <w:b w:val="0"/>
            <w:noProof/>
          </w:rPr>
          <w:t>Особенности организации пункта проведения ГИА для участников ГИА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р</w:t>
        </w:r>
        <w:r w:rsidRPr="0090464A">
          <w:rPr>
            <w:rStyle w:val="a3"/>
            <w:b w:val="0"/>
            <w:noProof/>
          </w:rPr>
          <w:t>азличными заболеваниями, детей-инвалидов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и</w:t>
        </w:r>
        <w:r w:rsidRPr="0090464A">
          <w:rPr>
            <w:rStyle w:val="a3"/>
            <w:b w:val="0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bookmarkStart w:id="0" w:name="_Toc412737753"/>
      <w:r w:rsidRPr="00ED0FE6">
        <w:rPr>
          <w:b/>
          <w:sz w:val="32"/>
        </w:rPr>
        <w:lastRenderedPageBreak/>
        <w:t>Перечень условных</w:t>
      </w:r>
      <w:r w:rsidR="00243D19" w:rsidRPr="00ED0FE6">
        <w:rPr>
          <w:b/>
          <w:sz w:val="32"/>
        </w:rPr>
        <w:t xml:space="preserve"> обозначений, </w:t>
      </w:r>
      <w:r w:rsidRPr="00ED0FE6">
        <w:rPr>
          <w:b/>
          <w:sz w:val="32"/>
        </w:rPr>
        <w:t>сокращений</w:t>
      </w:r>
      <w:r w:rsidR="00B11A89" w:rsidRPr="00ED0FE6">
        <w:rPr>
          <w:b/>
          <w:sz w:val="32"/>
        </w:rPr>
        <w:t xml:space="preserve"> и</w:t>
      </w:r>
      <w:r w:rsidR="00B11A89">
        <w:rPr>
          <w:b/>
          <w:sz w:val="32"/>
        </w:rPr>
        <w:t> </w:t>
      </w:r>
      <w:r w:rsidR="00B11A89" w:rsidRPr="00ED0FE6">
        <w:rPr>
          <w:b/>
          <w:sz w:val="32"/>
        </w:rPr>
        <w:t>т</w:t>
      </w:r>
      <w:r w:rsidRPr="00ED0FE6">
        <w:rPr>
          <w:b/>
          <w:sz w:val="32"/>
        </w:rPr>
        <w:t>ерминов</w:t>
      </w:r>
      <w:bookmarkEnd w:id="0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1400 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1394 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ED0FE6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gramStart"/>
            <w:r w:rsidRPr="00ED0FE6">
              <w:rPr>
                <w:sz w:val="26"/>
                <w:szCs w:val="26"/>
              </w:rPr>
              <w:t>Региональный</w:t>
            </w:r>
            <w:proofErr w:type="gramEnd"/>
            <w:r w:rsidRPr="00ED0FE6">
              <w:rPr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F401F0">
      <w:pPr>
        <w:pStyle w:val="1"/>
        <w:ind w:firstLine="709"/>
        <w:rPr>
          <w:b w:val="0"/>
          <w:sz w:val="26"/>
        </w:rPr>
      </w:pPr>
      <w:bookmarkStart w:id="1" w:name="_Toc412727178"/>
      <w:bookmarkStart w:id="2" w:name="_Toc410235016"/>
      <w:bookmarkStart w:id="3" w:name="_Toc404598535"/>
      <w:bookmarkStart w:id="4" w:name="_Toc379881169"/>
      <w:bookmarkStart w:id="5" w:name="_Toc412737754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6" w:name="_Toc439320748"/>
      <w:r w:rsidRPr="00ED0FE6">
        <w:lastRenderedPageBreak/>
        <w:t>Нормативные правовые документы, регламентирующие порядок проведения ГИА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5"/>
      <w:bookmarkEnd w:id="6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</w:t>
      </w:r>
      <w:bookmarkStart w:id="7" w:name="_GoBack"/>
      <w:bookmarkEnd w:id="7"/>
      <w:r w:rsidRPr="00ED0FE6">
        <w:rPr>
          <w:sz w:val="26"/>
          <w:szCs w:val="26"/>
        </w:rPr>
        <w:t xml:space="preserve">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9" w:name="_Toc439320749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</w:t>
      </w:r>
      <w:proofErr w:type="gramStart"/>
      <w:r w:rsidRPr="00ED0FE6">
        <w:rPr>
          <w:sz w:val="26"/>
          <w:szCs w:val="26"/>
        </w:rPr>
        <w:t>и</w:t>
      </w:r>
      <w:proofErr w:type="gramEnd"/>
      <w:r w:rsidRPr="00ED0FE6">
        <w:rPr>
          <w:sz w:val="26"/>
          <w:szCs w:val="26"/>
        </w:rPr>
        <w:t xml:space="preserve">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0" w:name="_Toc412737756"/>
      <w:bookmarkStart w:id="11" w:name="_Toc439320750"/>
      <w:bookmarkEnd w:id="1"/>
      <w:bookmarkEnd w:id="2"/>
      <w:bookmarkEnd w:id="3"/>
      <w:bookmarkEnd w:id="4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Ассистентом может быть назначен штатный сотрудник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сотрудник специального (коррекционного) образовательного учреждения</w:t>
      </w:r>
      <w:proofErr w:type="gramStart"/>
      <w:r w:rsidRPr="00ED0FE6">
        <w:rPr>
          <w:sz w:val="26"/>
          <w:szCs w:val="26"/>
        </w:rPr>
        <w:t xml:space="preserve"> .</w:t>
      </w:r>
      <w:proofErr w:type="gramEnd"/>
      <w:r w:rsidRPr="00ED0FE6">
        <w:rPr>
          <w:sz w:val="26"/>
          <w:szCs w:val="26"/>
        </w:rPr>
        <w:t xml:space="preserve"> 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на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lastRenderedPageBreak/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ехнологии проведения ГИА: назначить руководителя ППЭ, 2 организаторов,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13" w:name="_Toc439320751"/>
      <w:r w:rsidRPr="00ED0FE6">
        <w:rPr>
          <w:bCs/>
        </w:rPr>
        <w:lastRenderedPageBreak/>
        <w:t>Особенности проведения ГИА</w:t>
      </w:r>
      <w:r w:rsidR="00B11A89" w:rsidRPr="00ED0FE6">
        <w:rPr>
          <w:bCs/>
        </w:rPr>
        <w:t xml:space="preserve"> в</w:t>
      </w:r>
      <w:r w:rsidR="00B11A89">
        <w:rPr>
          <w:bCs/>
        </w:rPr>
        <w:t> </w:t>
      </w:r>
      <w:r w:rsidR="00B11A89" w:rsidRPr="00ED0FE6">
        <w:rPr>
          <w:bCs/>
        </w:rPr>
        <w:t>П</w:t>
      </w:r>
      <w:r w:rsidRPr="00ED0FE6">
        <w:rPr>
          <w:bCs/>
        </w:rPr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39320752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помощникам, кроме стандартных форм, списки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в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39320753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или его помощника: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тандартные бланки ответов осуществляется ассистентом (организатором)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39320754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стандартного размера рекомендуется назначать специально обученных </w:t>
      </w:r>
      <w:r w:rsidRPr="00ED0FE6">
        <w:rPr>
          <w:sz w:val="26"/>
          <w:szCs w:val="26"/>
        </w:rPr>
        <w:lastRenderedPageBreak/>
        <w:t>организаторов (ассистентов),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назначаются другие организаторы.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(организаторы) переносят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 ответы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8" w:name="_Toc439320755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bCs/>
          <w:sz w:val="26"/>
          <w:szCs w:val="26"/>
        </w:rPr>
        <w:lastRenderedPageBreak/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20" w:name="_Toc439320756"/>
      <w:r w:rsidRPr="00ED0FE6">
        <w:rPr>
          <w:bCs/>
        </w:rPr>
        <w:lastRenderedPageBreak/>
        <w:t>Особенности рассмотрения апелляций участников ГИА</w:t>
      </w:r>
      <w:r w:rsidR="00B11A89" w:rsidRPr="00ED0FE6">
        <w:rPr>
          <w:bCs/>
        </w:rPr>
        <w:t xml:space="preserve"> с</w:t>
      </w:r>
      <w:r w:rsidR="00B11A89">
        <w:rPr>
          <w:bCs/>
        </w:rPr>
        <w:t> </w:t>
      </w:r>
      <w:r w:rsidR="00B11A89" w:rsidRPr="00ED0FE6">
        <w:rPr>
          <w:bCs/>
        </w:rPr>
        <w:t>О</w:t>
      </w:r>
      <w:r w:rsidRPr="00ED0FE6">
        <w:rPr>
          <w:bCs/>
        </w:rPr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1" w:name="_Toc412737760"/>
      <w:bookmarkStart w:id="22" w:name="_Toc439320757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лоскопечатный шрифт </w:t>
      </w:r>
      <w:proofErr w:type="gramStart"/>
      <w:r w:rsidRPr="00ED0FE6">
        <w:rPr>
          <w:bCs/>
          <w:sz w:val="26"/>
          <w:szCs w:val="26"/>
        </w:rPr>
        <w:t>для</w:t>
      </w:r>
      <w:proofErr w:type="gramEnd"/>
      <w:r w:rsidRPr="00ED0FE6">
        <w:rPr>
          <w:bCs/>
          <w:sz w:val="26"/>
          <w:szCs w:val="26"/>
        </w:rPr>
        <w:t xml:space="preserve">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243D19">
      <w:pPr>
        <w:pStyle w:val="1"/>
      </w:pPr>
      <w:r w:rsidRPr="00ED0FE6">
        <w:br w:type="page"/>
      </w:r>
      <w:bookmarkStart w:id="23" w:name="_Toc412737761"/>
      <w:bookmarkStart w:id="24" w:name="_Toc439320758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4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3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5" w:name="_Toc412737762"/>
      <w:bookmarkStart w:id="26" w:name="_Toc439320759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7" w:name="_Toc412737763"/>
      <w:bookmarkStart w:id="28" w:name="_Toc439320760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(или помощник руководителя ППЭ)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лена ГЭК  специально назначенные организаторы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организатор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9" w:name="_Toc412737764"/>
      <w:bookmarkStart w:id="30" w:name="_Toc439320761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кончании масштабирования каждого </w:t>
      </w:r>
      <w:r w:rsidRPr="00ED0FE6">
        <w:rPr>
          <w:sz w:val="26"/>
          <w:szCs w:val="26"/>
        </w:rPr>
        <w:lastRenderedPageBreak/>
        <w:t>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31" w:name="_Toc412737765"/>
      <w:bookmarkStart w:id="32" w:name="_Toc439320762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где проходил экзамен для слабовидящих, перенос организаторами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омпьютере,  контролировать перенос организаторами 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243D19">
      <w:pPr>
        <w:pStyle w:val="1"/>
      </w:pPr>
      <w:bookmarkStart w:id="33" w:name="_Toc412737766"/>
      <w:bookmarkStart w:id="34" w:name="_Toc439320763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ереносит информацию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аспечатанных бланков участника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тандартные бланки ответов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CE8ECA52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48ED"/>
    <w:rsid w:val="00243D19"/>
    <w:rsid w:val="002C7B8E"/>
    <w:rsid w:val="003C52F4"/>
    <w:rsid w:val="00425C78"/>
    <w:rsid w:val="004E29C8"/>
    <w:rsid w:val="004F5E97"/>
    <w:rsid w:val="0069681B"/>
    <w:rsid w:val="007B099B"/>
    <w:rsid w:val="0090464A"/>
    <w:rsid w:val="00AA5BBE"/>
    <w:rsid w:val="00AD2C5C"/>
    <w:rsid w:val="00B11A89"/>
    <w:rsid w:val="00B51BA9"/>
    <w:rsid w:val="00B57C32"/>
    <w:rsid w:val="00C6468A"/>
    <w:rsid w:val="00CA3BA3"/>
    <w:rsid w:val="00E93C79"/>
    <w:rsid w:val="00ED0FE6"/>
    <w:rsid w:val="00F401F0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1479-0ABA-4F2D-97B1-F4847C03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8751</Words>
  <Characters>49882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Хруслов Максим Вадимович</cp:lastModifiedBy>
  <cp:revision>5</cp:revision>
  <dcterms:created xsi:type="dcterms:W3CDTF">2015-12-30T16:37:00Z</dcterms:created>
  <dcterms:modified xsi:type="dcterms:W3CDTF">2015-12-31T07:25:00Z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-1915231504</vt:i4>
  </property>
  <property fmtid="{D5CDD505-2E9C-101B-9397-08002B2CF9AE}" pid="3" name="_NewReviewCycle">
    <vt:lpwstr/>
  </property>
  <property fmtid="{D5CDD505-2E9C-101B-9397-08002B2CF9AE}" pid="4" name="_EmailSubject">
    <vt:lpwstr>О внесении сведений в РИС</vt:lpwstr>
  </property>
  <property fmtid="{D5CDD505-2E9C-101B-9397-08002B2CF9AE}" pid="5" name="_AuthorEmail">
    <vt:lpwstr>dep_obraz@72to.ru</vt:lpwstr>
  </property>
  <property fmtid="{D5CDD505-2E9C-101B-9397-08002B2CF9AE}" pid="6" name="_AuthorEmailDisplayName">
    <vt:lpwstr>Департамент образования и науки Тюменской области</vt:lpwstr>
  </property>
</Properties>
</file>