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45" w:rsidRPr="00A44761" w:rsidRDefault="005F7C45" w:rsidP="005F7C45">
      <w:pPr>
        <w:shd w:val="clear" w:color="auto" w:fill="FFFFFF"/>
        <w:spacing w:after="0" w:line="240" w:lineRule="auto"/>
        <w:ind w:right="208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1</w:t>
      </w:r>
    </w:p>
    <w:p w:rsidR="005F7C45" w:rsidRPr="00A44761" w:rsidRDefault="005F7C45" w:rsidP="005F7C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5F7C45" w:rsidRPr="00A44761" w:rsidRDefault="005F7C45" w:rsidP="005F7C45">
      <w:pPr>
        <w:shd w:val="clear" w:color="auto" w:fill="FFFFFF"/>
        <w:spacing w:after="0" w:line="240" w:lineRule="auto"/>
        <w:ind w:right="208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5F7C45" w:rsidRPr="00A44761" w:rsidRDefault="005F7C45" w:rsidP="005F7C45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Антони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ван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Левенгук открыл и описал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бактерии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вирусы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нуклеиновые кислоты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прокариотам не относится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бледная спирохета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кишечная палочка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палочка Коха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трипаносома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результате полного окисления 15 молекул глюкозы образуется ... молекул АТФ.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2. 38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3. 540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4. 570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метафаза митоза обозначена цифрой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838450" cy="1590675"/>
            <wp:effectExtent l="19050" t="0" r="0" b="0"/>
            <wp:docPr id="1" name="Рисунок 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3314700" cy="1504950"/>
            <wp:effectExtent l="19050" t="0" r="0" b="0"/>
            <wp:docPr id="2" name="Рисунок 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Изображённым на рисунке способом можно размножать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219200" cy="1390650"/>
            <wp:effectExtent l="19050" t="0" r="0" b="0"/>
            <wp:docPr id="3" name="Рисунок 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глоксинию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ежевику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3. крыжовник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раффлезию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норок тёмный цвет шерсти не полностью доминирует над белым. При скрещивании двух гетерозиготных норок получили ... потомства с белой окраской шерсти.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1. 25%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2. 50%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3. 75%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4. 100%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Случайная встреча гамет при оплодотворении приводит к возникновению ... изменчивости.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комбинативной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2.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модификационной</w:t>
      </w:r>
      <w:proofErr w:type="spellEnd"/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определённой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фенотипической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Бестер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- это гибрид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бактриана и дромадера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белуги и стерляди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зайца-беляка и зайца-русака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хорька и норки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Грибница подосиновика с корнями осины образует микоризу, что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обеспечивает осину органическими веществами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разрушает ткани осины и обеспечивает подосиновик органическими веществами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улучшает азотное питание осины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улучшает почвенное питание осины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Главными частям цветка являются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085975" cy="1714500"/>
            <wp:effectExtent l="19050" t="0" r="9525" b="0"/>
            <wp:docPr id="4" name="Рисунок 4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 и 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 и 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 и 4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 и 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Голосеменные растения отличаются от папоротникообразных наличием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полового процесса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семенного размножения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спорообразования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Развитие с неполным превращением характерно для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714500" cy="1152525"/>
            <wp:effectExtent l="19050" t="0" r="0" b="0"/>
            <wp:docPr id="5" name="Рисунок 5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2. 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781175" cy="1257300"/>
            <wp:effectExtent l="19050" t="0" r="9525" b="0"/>
            <wp:docPr id="6" name="Рисунок 6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400175" cy="1085850"/>
            <wp:effectExtent l="19050" t="0" r="9525" b="0"/>
            <wp:docPr id="7" name="Рисунок 7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790700" cy="1371600"/>
            <wp:effectExtent l="19050" t="0" r="0" b="0"/>
            <wp:docPr id="8" name="Рисунок 8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Артериальная и венозная кровь не смешиваются у организма, обозначенного на рисунке цифрой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1704975" cy="1524000"/>
            <wp:effectExtent l="19050" t="0" r="9525" b="0"/>
            <wp:docPr id="9" name="Рисунок 9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333625" cy="1495425"/>
            <wp:effectExtent l="19050" t="0" r="9525" b="0"/>
            <wp:docPr id="10" name="Рисунок 10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095500" cy="1285875"/>
            <wp:effectExtent l="19050" t="0" r="0" b="0"/>
            <wp:docPr id="11" name="Рисунок 1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771775" cy="1057275"/>
            <wp:effectExtent l="19050" t="0" r="9525" b="0"/>
            <wp:docPr id="12" name="Рисунок 1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Функциональной единицей почек является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ворсинка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капилляр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нейрон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нефрон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Стенка бронхов у человека образована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однослойным эпителием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соединительнотканными кольцами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хрящевыми кольцами и плотной соединительной тканью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хрящевыми полукольцами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проведении нервного импульса участвует витамин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Центральный отдел обонятельного анализатора находится в ... долях коры больших полушарий.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теменной и височной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височной и лобной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лобной и затылочной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затылочной и теменной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прямом контакте с больным человеком может произойти заражение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ботулизмом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гастритом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малярией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туберкулёзом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изображена схема ... отбора.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>
            <wp:extent cx="2466975" cy="2409825"/>
            <wp:effectExtent l="19050" t="0" r="9525" b="0"/>
            <wp:docPr id="13" name="Рисунок 1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движущего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дестабилизирующего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дизруптивного</w:t>
      </w:r>
      <w:proofErr w:type="spellEnd"/>
    </w:p>
    <w:p w:rsidR="005F7C45" w:rsidRPr="00C4152A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стабилизирующего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Каким критериям вида соответствует следующее описание: белуга — хищник, питается мелкой рыбой, зубов у неё нет; зубы есть только у мальков, а у взрослой рыбы они рассасываются?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географическому и экологическому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экологическому и морфологическому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морфологическому и физиологическому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физиологическому и географическому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Молекулы гемоглобина имеют особое строение для транспортировки кислорода, который является сильнейшим окислителем и может нарушить гомеостаз. Этот пример иллюстрирует ... адаптации.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этологические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зоне тайги для растений лимитирующим фактором является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глубина снежного покрова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количество тепла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содержание в почве элементов минерального питания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увлажнение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Круговорот веществ и передача энергии в экосистеме осуществляется по ... цепям.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топическим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трофическим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фабрическим</w:t>
      </w:r>
      <w:proofErr w:type="spellEnd"/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форическим</w:t>
      </w:r>
      <w:proofErr w:type="spellEnd"/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Структурными компонентами биосферы являются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биогеоценозы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биотопы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биоценозы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экотопы</w:t>
      </w:r>
      <w:proofErr w:type="spellEnd"/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видообразовании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Географическое видообразование связано с изменением ареала вида. Например, на Байкале уникальная флора и фауна, так как озеро не сообщается с другими водоёмами более 20 млн лет.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Экологическое видообразование связано с изменением условий обитания. Например, традесканция образует две популяции и заселяет солнечную и теневую сторону холма.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5F7C45" w:rsidRPr="00A44761" w:rsidRDefault="005F7C45" w:rsidP="005F7C45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Н. И. Вавилов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ввёл в практику генетических исследований плодовую мушку дрозофилу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организовал научные экспедиции для сбора образцов культурных растений, их диких предков и сородичей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создал учение о центрах происхождения культурных растений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сформулировал закон гомологических рядов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разработал метод ментора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является основоположником генетики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Какую роль выполняет желчь в пищеварении?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разрушает эритроциты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расщепляет жиры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эмульгирует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жиры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усиливает перистальтику кишечника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убивает микроорганизмы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расщепляет полипептиды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Результатами эволюции являются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расширение ареала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приспособленность организмов к различным условиям обитания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многообразие видов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 расселение организмов в новые среды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появление геномных и хромосомных мутаций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постепенное усложнение и повышение уровня организации живых организмов</w:t>
      </w:r>
    </w:p>
    <w:p w:rsidR="005F7C45" w:rsidRPr="00A44761" w:rsidRDefault="005F7C45" w:rsidP="005F7C45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организмами и способами их питания.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4471"/>
      </w:tblGrid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ОРГАНИЗМЫ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СПОСОБ ПИТАНИЯ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росянка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автотрофный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суслик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гетеротрофный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серобактерии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миксотрофный</w:t>
            </w:r>
            <w:proofErr w:type="spellEnd"/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щегол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рогоз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эвглена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водорослями и отделами, к которым они относятся.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3598"/>
      </w:tblGrid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ВОДОРОСЛИ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ОТДЕЛЫ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порфира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зеленые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ламинария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бурые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улотрис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красные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спирогира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саргасс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фукус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процессами и этапами газообмена у человека.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2873"/>
      </w:tblGrid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ПРОЦЕССЫ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ЭТАПЫ ГАЗООБМЕНА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диффузия газов в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внешнее дыхание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вентиляция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внутреннее дыхание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образование оксигемоглобина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обмен газов между атмосферой и альвеолами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диффузия газов в тканях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Е) образование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карбгемоглобина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изоляций и особенностями, которые для них характерны.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1934"/>
      </w:tblGrid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 ПРОЦЕССОВ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ИЗОЛЯЦИЙ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А) связана с изменением ландшафта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географическая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появляются гибриды с низкой жизнеспособностью, плодовитостью или полной стерильностью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биологическая</w:t>
            </w: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связана с деятельностью человека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связана с уменьшением вероятности встречи полов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F7C45" w:rsidRPr="00A44761" w:rsidTr="00FC2E9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связана с уменьшением вероятности оплодотворение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F7C45" w:rsidRPr="00A44761" w:rsidRDefault="005F7C45" w:rsidP="00FC2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5F7C45" w:rsidRPr="00A44761" w:rsidRDefault="005F7C45" w:rsidP="005F7C45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 этапов полового размножения у хламидомонады.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образование гамет (митоз)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сближение гамет (n + n)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прорастание зиготы (мейоз), выход спор (n)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взрослый организм — гаметофит (n)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зигота (2n), покой (спорофит, 2n)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слияние гамет</w:t>
      </w:r>
    </w:p>
    <w:p w:rsidR="005F7C45" w:rsidRPr="00A44761" w:rsidRDefault="005F7C45" w:rsidP="005F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7. выход гамет</w:t>
      </w:r>
    </w:p>
    <w:p w:rsidR="005F7C45" w:rsidRPr="00A44761" w:rsidRDefault="005F7C45" w:rsidP="005F7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7C45" w:rsidRPr="00A44761" w:rsidRDefault="005F7C45" w:rsidP="005F7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7C45" w:rsidRPr="00A44761" w:rsidRDefault="005F7C45" w:rsidP="005F7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AD5" w:rsidRPr="00A44761" w:rsidRDefault="00F04AD5" w:rsidP="00F0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  <w:t>Результат проверки</w:t>
      </w:r>
    </w:p>
    <w:p w:rsidR="00F04AD5" w:rsidRPr="00A44761" w:rsidRDefault="00F04AD5" w:rsidP="00F0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</w:pPr>
      <w:proofErr w:type="gramStart"/>
      <w:r w:rsidRPr="00A44761"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  <w:t>заданий</w:t>
      </w:r>
      <w:proofErr w:type="gramEnd"/>
      <w:r w:rsidRPr="00A44761"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  <w:t xml:space="preserve"> по биологии 1 вариант</w:t>
      </w:r>
    </w:p>
    <w:tbl>
      <w:tblPr>
        <w:tblW w:w="10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122"/>
        <w:gridCol w:w="5168"/>
      </w:tblGrid>
      <w:tr w:rsidR="00F04AD5" w:rsidRPr="00A44761" w:rsidTr="009977A2"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Ваш ответ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F04AD5" w:rsidRPr="00A44761" w:rsidTr="009977A2">
        <w:trPr>
          <w:trHeight w:val="260"/>
        </w:trPr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234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345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236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321213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321122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112122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12122</w:t>
            </w:r>
          </w:p>
        </w:tc>
      </w:tr>
      <w:tr w:rsidR="00F04AD5" w:rsidRPr="00A44761" w:rsidTr="009977A2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4AD5" w:rsidRPr="00A44761" w:rsidRDefault="00F04AD5" w:rsidP="009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4172653</w:t>
            </w:r>
          </w:p>
        </w:tc>
      </w:tr>
    </w:tbl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F04AD5" w:rsidRPr="00A44761" w:rsidRDefault="00F04AD5" w:rsidP="00F04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  <w:bookmarkStart w:id="0" w:name="_GoBack"/>
      <w:bookmarkEnd w:id="0"/>
      <w:r w:rsidRPr="00A44761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  <w:br/>
      </w: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5F7C45" w:rsidRDefault="005F7C45" w:rsidP="005F7C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</w:p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C45"/>
    <w:rsid w:val="000A42E6"/>
    <w:rsid w:val="004D4A92"/>
    <w:rsid w:val="005F7C45"/>
    <w:rsid w:val="00F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30E5E-F6E4-4410-874B-901A4B50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9</cp:lastModifiedBy>
  <cp:revision>3</cp:revision>
  <dcterms:created xsi:type="dcterms:W3CDTF">2016-04-25T04:44:00Z</dcterms:created>
  <dcterms:modified xsi:type="dcterms:W3CDTF">2016-12-23T09:03:00Z</dcterms:modified>
</cp:coreProperties>
</file>