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96" w:rsidRPr="007C6F96" w:rsidRDefault="007C6F96" w:rsidP="00E5690F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bookmarkStart w:id="0" w:name="_GoBack"/>
      <w:r w:rsidRPr="007C6F9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ДЕТСКИЕ АТТРАКЦИОНЫ</w:t>
      </w:r>
    </w:p>
    <w:bookmarkEnd w:id="0"/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Лето </w:t>
      </w:r>
      <w:r w:rsidR="00E5690F"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– сезон детских аттракционов на открытом воздухе, привлекающий внимание, как детей, так и родителей.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Нередко хозяйствующие субъекты, оказывающие населению такие услуги, принимая, тем самым, на себя ответственность за жизнь и здоровье посетителей, а также качество предоставляемых услуг, не принимают надлежащих необходимых мер для того, чтобы услуга являлась безопасной.</w:t>
      </w:r>
    </w:p>
    <w:p w:rsidR="007C6F96" w:rsidRPr="007C6F96" w:rsidRDefault="007C6F96" w:rsidP="00E569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Уважаемые родители! Обратите внимание!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Прежде, чем купить билеты на тот или иной аттракцион, нужно выяснить, подходит ли он для Вашего ребенка.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Для этого достаточно ознакомиться с правилами пользования аттракционом.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В правилах должны быть прописаны: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– возможные ограничения по возрасту, росту, весу, состоянию здоровья детей, а также требования относительно их поведения во время пользования аттракционом.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Если по каким-то причинам Вы не нашли интересующую Вас информацию или что-то осталось непонятным, вызывает сомнения или настораживает, стоит обратиться за разъяснениями к персоналу, обслуживающему аттракцион.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Согласно требованиям законодательства в области защиты прав потребителей, потребитель имеет право на получение необходимой и достоверной информации об исполнителе услуг: адресе его места нахождения, режиме работы, информации об оказываемых услугах и их стоимости.</w:t>
      </w:r>
    </w:p>
    <w:p w:rsidR="007C6F96" w:rsidRPr="007C6F96" w:rsidRDefault="007C6F96" w:rsidP="00E569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Потребитель имеет право на то, чтобы услуга была безопасна для жизни, здоровья потребителя, окружающей среды, а также не причиняла вред имуществу потребителя. Данные требования являются обязательными и устанавливаются законом или в установленном им порядке.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Если для безопасного использования услуги необходимо соблюдать специальные правила, то исполнитель обязан довести эти правила до сведения потребителя.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7C6F96" w:rsidRPr="007C6F96" w:rsidTr="007C6F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6F96" w:rsidRPr="007C6F96" w:rsidRDefault="007C6F96" w:rsidP="007C6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</w:tbl>
    <w:p w:rsidR="007C6F96" w:rsidRPr="007C6F96" w:rsidRDefault="007C6F96" w:rsidP="00E569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С 18.04.2018 вступил в силу Технический регламент ТС 038/2016 Евразийского экономического союза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ЕАЭС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«О безопасности аттракционов»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 (далее –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ТС), который распространяется на аттракционы, впервые выпускаемые в обращение на территории Евразийского экономического союза, и устанавливает минимально необходимые требования к безопасности аттракционов и связанным с ними процессам проектирования, изготовления, монтажа (сборки, установки), наладки, эксплуатации, хранения, перевозки и утилизации в целях защиты жизни и (или) здоровья человека, имущества, окружающей среды и предупреждения действий, вводящих потребителей в заблуждение.</w:t>
      </w:r>
    </w:p>
    <w:p w:rsidR="007C6F96" w:rsidRPr="007C6F96" w:rsidRDefault="007C6F96" w:rsidP="00E569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В соответствии с указанным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на каждом аттракционе должна быть установлена информационная табличка изготовителя, содержащая следующие сведения:</w:t>
      </w:r>
    </w:p>
    <w:p w:rsidR="007C6F96" w:rsidRPr="007C6F96" w:rsidRDefault="007C6F96" w:rsidP="00E569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а) наименование и место нахождения (адрес) изготовителя и (или) продавца (поставщика);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б) наименование и (или) обозначение аттракциона (тип (номер) модели);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в) заводской номер изделия;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г) месяц и год изготовления.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Указанные сведения могут быть нанесены любым способом, обеспечивающим четкое и хорошо различимое изображение в течение всего срока службы аттракциона. Табличка должна быть выполнена на русском языке.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При эксплуатации аттракционов исполнитель обязан: – выполнять требования эксплуатационных документов, вести соответствующие журналы;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.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и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меть средства для измерения роста и веса пассажиров (если это предусмотрено эксплуатационными документами);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lastRenderedPageBreak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организации, которая провела проверку, и о дате ближайшей ежегодной проверки;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рядом с пультом аттракциона таблички, содержащие сведения об основных технических характеристиках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иметь медицинскую аптечку;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схемы загрузки аттракциона пассажирами (если это предусмотрено эксплуатационными документами);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исключить недопустимое использование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организовать безопасные рабочие места для персонала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Контроль за техническим состоянием оборудования, контроль соответствия требованиям безопасности, техническое обслуживание и ремонт осуществляются </w:t>
      </w:r>
      <w:proofErr w:type="spell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эксплуатантом</w:t>
      </w:r>
      <w:proofErr w:type="spell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 xml:space="preserve"> (владельцем) аттракциона.</w:t>
      </w:r>
      <w:proofErr w:type="gramEnd"/>
    </w:p>
    <w:p w:rsidR="00E5690F" w:rsidRDefault="00E5690F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Постановлением Правительства РФ от 10.10.2018 №1209 «О внесении изменений в постановление Правительства Российской Федерации от 13 мая 2013 г. № 407» определены госорганы, которые осуществляют контроль за соблюдением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В частности, на стадии выпуска в обращение и обращения на рынке контролирующим органом назначено </w:t>
      </w:r>
      <w:proofErr w:type="spell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Ростехрегулирование</w:t>
      </w:r>
      <w:proofErr w:type="spellEnd"/>
      <w:r w:rsidRPr="007C6F96">
        <w:rPr>
          <w:rFonts w:ascii="Arial" w:eastAsia="Times New Roman" w:hAnsi="Arial" w:cs="Arial"/>
          <w:color w:val="242424"/>
          <w:sz w:val="21"/>
          <w:szCs w:val="21"/>
        </w:rPr>
        <w:t>, а в части соблюдения требований безопасности при эксплуатации аттракционов при осуществлении регионального надзора - региональные органы власти.</w:t>
      </w:r>
    </w:p>
    <w:p w:rsidR="007C6F96" w:rsidRPr="007C6F96" w:rsidRDefault="007C6F96" w:rsidP="00E5690F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Полномочия Роспотребнадзора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 в данной сфере услуг сводятся к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контролю за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соблюдением хозяйствующими субъектами установленных Законом «О защите прав потребителей» прав потребителей на информацию об услугах, об исполнителе, соответствие условий договоров законодательству в сфере защиты прав потребителей.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Вред, причиненный жизни, здоровью или имуществу потребителя вследствие необеспечения безопасности услуги, подлежит возмещению в соответствии со ст. 14 Закона «О защите прав потребителей» в рамках гражданского судопроизводства. 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- Закон РФ от 07.02.1992 N 2300-1 (ред. от 18.03.2019) "О защите прав потребителей"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-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 ЕАЭС 038/2016. Технический регламент Евразийского экономического союза.</w:t>
      </w:r>
    </w:p>
    <w:p w:rsidR="007C6F96" w:rsidRPr="007C6F96" w:rsidRDefault="007C6F96" w:rsidP="00E5690F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«О безопасности аттракционов»</w:t>
      </w:r>
    </w:p>
    <w:p w:rsidR="007C6F96" w:rsidRPr="007C6F96" w:rsidRDefault="007C6F96" w:rsidP="00E569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07A54" w:rsidRDefault="00807A54" w:rsidP="00E5690F"/>
    <w:sectPr w:rsidR="0080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6F96"/>
    <w:rsid w:val="007C6F96"/>
    <w:rsid w:val="00807A54"/>
    <w:rsid w:val="00E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F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Семенова Нина Владим</cp:lastModifiedBy>
  <cp:revision>4</cp:revision>
  <dcterms:created xsi:type="dcterms:W3CDTF">2019-08-28T03:51:00Z</dcterms:created>
  <dcterms:modified xsi:type="dcterms:W3CDTF">2019-09-06T08:18:00Z</dcterms:modified>
</cp:coreProperties>
</file>