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1B" w:rsidRDefault="00EB201B" w:rsidP="007B6052">
      <w:pPr>
        <w:spacing w:after="0" w:line="270" w:lineRule="atLeast"/>
        <w:jc w:val="center"/>
        <w:rPr>
          <w:rFonts w:ascii="Times New Roman" w:hAnsi="Times New Roman" w:cs="Arial"/>
          <w:b/>
          <w:bCs/>
          <w:color w:val="000000"/>
          <w:sz w:val="26"/>
          <w:lang w:eastAsia="ru-RU"/>
        </w:rPr>
      </w:pPr>
      <w:r>
        <w:rPr>
          <w:rFonts w:ascii="Times New Roman" w:hAnsi="Times New Roman" w:cs="Arial"/>
          <w:b/>
          <w:bCs/>
          <w:color w:val="000000"/>
          <w:sz w:val="26"/>
          <w:lang w:eastAsia="ru-RU"/>
        </w:rPr>
        <w:t>Программа по математике</w:t>
      </w:r>
    </w:p>
    <w:p w:rsidR="00EB201B" w:rsidRDefault="00EB201B" w:rsidP="007B6052">
      <w:pPr>
        <w:spacing w:after="0" w:line="270" w:lineRule="atLeast"/>
        <w:jc w:val="center"/>
        <w:rPr>
          <w:rFonts w:ascii="Times New Roman" w:hAnsi="Times New Roman" w:cs="Arial"/>
          <w:b/>
          <w:bCs/>
          <w:color w:val="000000"/>
          <w:sz w:val="26"/>
          <w:lang w:eastAsia="ru-RU"/>
        </w:rPr>
      </w:pPr>
      <w:r>
        <w:rPr>
          <w:rFonts w:ascii="Times New Roman" w:hAnsi="Times New Roman" w:cs="Arial"/>
          <w:b/>
          <w:bCs/>
          <w:color w:val="000000"/>
          <w:sz w:val="26"/>
          <w:lang w:eastAsia="ru-RU"/>
        </w:rPr>
        <w:t>2 класс</w:t>
      </w:r>
    </w:p>
    <w:p w:rsidR="00EB201B" w:rsidRPr="007B6052" w:rsidRDefault="00EB201B" w:rsidP="007B6052">
      <w:pPr>
        <w:spacing w:after="0" w:line="270" w:lineRule="atLeast"/>
        <w:jc w:val="center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Пояснительная записка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</w:t>
      </w:r>
      <w:r w:rsidRPr="007B6052">
        <w:rPr>
          <w:rFonts w:ascii="Times New Roman" w:hAnsi="Times New Roman"/>
          <w:sz w:val="26"/>
          <w:szCs w:val="24"/>
        </w:rPr>
        <w:t xml:space="preserve">   Рабочая программа составлена на основе Федерального компонента образовательного стандарта начального образования.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/>
          <w:sz w:val="26"/>
          <w:szCs w:val="24"/>
        </w:rPr>
        <w:t xml:space="preserve">   Рабочая программа соответствует обязательному минимуму содержания предметного математического образования в начальной школе.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/>
          <w:sz w:val="26"/>
          <w:szCs w:val="24"/>
        </w:rPr>
        <w:t xml:space="preserve">   Рабочая программа составлена на основе программы по математике для начальной школы авторов </w:t>
      </w:r>
      <w:proofErr w:type="spellStart"/>
      <w:r w:rsidRPr="007B6052">
        <w:rPr>
          <w:rFonts w:ascii="Times New Roman" w:hAnsi="Times New Roman"/>
          <w:sz w:val="26"/>
          <w:szCs w:val="24"/>
        </w:rPr>
        <w:t>Р.Г.Чуракова</w:t>
      </w:r>
      <w:proofErr w:type="spellEnd"/>
      <w:r w:rsidRPr="007B6052">
        <w:rPr>
          <w:rFonts w:ascii="Times New Roman" w:hAnsi="Times New Roman"/>
          <w:sz w:val="26"/>
          <w:szCs w:val="24"/>
        </w:rPr>
        <w:t xml:space="preserve"> УМК «Перспективная начальная школа» А.Л.Чекин «Программы по учебным предметам», часть 1; издательство: </w:t>
      </w:r>
      <w:proofErr w:type="spellStart"/>
      <w:proofErr w:type="gramStart"/>
      <w:r w:rsidRPr="007B6052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7B6052">
        <w:rPr>
          <w:rFonts w:ascii="Times New Roman" w:hAnsi="Times New Roman"/>
          <w:sz w:val="26"/>
          <w:szCs w:val="24"/>
        </w:rPr>
        <w:t xml:space="preserve">/Учебник, Москва, </w:t>
      </w:r>
      <w:smartTag w:uri="urn:schemas-microsoft-com:office:smarttags" w:element="metricconverter">
        <w:smartTagPr>
          <w:attr w:name="ProductID" w:val="2011 г"/>
        </w:smartTagPr>
        <w:r w:rsidRPr="007B6052">
          <w:rPr>
            <w:rFonts w:ascii="Times New Roman" w:hAnsi="Times New Roman"/>
            <w:sz w:val="26"/>
            <w:szCs w:val="24"/>
          </w:rPr>
          <w:t>2011 г</w:t>
        </w:r>
      </w:smartTag>
      <w:r w:rsidRPr="007B6052">
        <w:rPr>
          <w:rFonts w:ascii="Times New Roman" w:hAnsi="Times New Roman"/>
          <w:sz w:val="26"/>
          <w:szCs w:val="24"/>
        </w:rPr>
        <w:t xml:space="preserve">.), с учетом требований к уровню подготовки обучающихся, регионального  и особенности школы. </w:t>
      </w:r>
      <w:proofErr w:type="gramEnd"/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Общие цели начального общего образования с учётом специфики учебного предмета «Математика»:</w:t>
      </w:r>
    </w:p>
    <w:p w:rsidR="00EB201B" w:rsidRPr="007B6052" w:rsidRDefault="00EB201B" w:rsidP="007B6052">
      <w:pPr>
        <w:spacing w:after="0" w:line="270" w:lineRule="atLeast"/>
        <w:ind w:firstLine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 xml:space="preserve"> 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Развитие у обучающихся познавательных действий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  <w:proofErr w:type="gramEnd"/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Математическое развитие младшего школьника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: использование математических представлений для описания окружающей действительности в количественном и пространственном отношении;  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Освоение</w:t>
      </w:r>
      <w:r w:rsidRPr="007B6052">
        <w:rPr>
          <w:rFonts w:ascii="Times New Roman" w:hAnsi="Times New Roman" w:cs="Arial"/>
          <w:i/>
          <w:iCs/>
          <w:color w:val="000000"/>
          <w:sz w:val="26"/>
          <w:u w:val="single"/>
          <w:lang w:eastAsia="ru-RU"/>
        </w:rPr>
        <w:t> </w:t>
      </w: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начальных математических знаний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алгоритмами выполнения арифметических действий, решения задач, проведения простейших построений, проявление  математической готовности к продолжению образования.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Воспитание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 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критичности мышления, интереса к умственному труду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интереса к математике, стремления использовать математические знания в повседневной жизни;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Формирование идейно-нравственных, культурных и этических принципов, норм поведения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     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ребёнку соответствующие способы познания окружающей действительности.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Общая характеристика учебного предмета: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 школе, а также пригодятся в жизни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  Изучение математики в начальной школе направлено на достижение следующих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целей: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математическое развитие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освоение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развитие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интереса к математике, стремления использовать математические знания в повседневной жизни.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В соответствии с новыми требованиями предлагаемый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начальный курс математики,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изложенный в учебниках 1-4 классов УМК «Перспективная начальная школа»,  имеет целью: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>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Проявлять математическую готовность к продолжению образования.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>Таким образом, предлагаемое содержание начального курса по математике,  в рамках учебников 1-4 классов,  имеет целью ввести ребенка в абстрактный мир математических понятий и их свойств, дать первоначальные навыки ориентации в той части реальной действительности, которая описывается (моделируется) с помощью этих понятий (окружающий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множеств и т.п.), а также предложить ребенку соответствующие способы познания окружающей действительности.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Основная дидактическая идея курса, раскрываемая в учебниках 1 – 4 классов, может быть выражена следующей формулой: «через рассмотрение частного к пониманию общего для решения частного». Логико-дидактической основой реализации первой части формулы является неполная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задач. </w:t>
      </w: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Система заданий направлена на то, чтобы суть предмета 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 xml:space="preserve">постигалась через естественную связь математики с окружающим миром (знакомство с тем или иным математическим понятием осуществляется при рассмотрении конкретной реальной или </w:t>
      </w:r>
      <w:proofErr w:type="spellStart"/>
      <w:r w:rsidRPr="007B6052">
        <w:rPr>
          <w:rFonts w:ascii="Times New Roman" w:hAnsi="Times New Roman" w:cs="Arial"/>
          <w:color w:val="000000"/>
          <w:sz w:val="26"/>
          <w:lang w:eastAsia="ru-RU"/>
        </w:rPr>
        <w:t>псевдореальной</w:t>
      </w:r>
      <w:proofErr w:type="spell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(учебной ситуации).</w:t>
      </w:r>
      <w:proofErr w:type="gramEnd"/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Отличительной чертой настоящего курса является значительное увеличение 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Содержание всего курса можно представить как взаимосвязанное развитие в течение четырех лет пяти основных содержательных линий: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арифметической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геометрической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величинной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алгоритмической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(обучение решению задач) и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информационной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7B6052">
        <w:rPr>
          <w:rFonts w:ascii="Times New Roman" w:hAnsi="Times New Roman" w:cs="Arial"/>
          <w:color w:val="000000"/>
          <w:sz w:val="26"/>
          <w:lang w:eastAsia="ru-RU"/>
        </w:rPr>
        <w:t>метапредметные</w:t>
      </w:r>
      <w:proofErr w:type="spellEnd"/>
      <w:r w:rsidRPr="007B6052">
        <w:rPr>
          <w:rFonts w:ascii="Times New Roman" w:hAnsi="Times New Roman" w:cs="Arial"/>
          <w:color w:val="000000"/>
          <w:sz w:val="26"/>
          <w:lang w:eastAsia="ru-RU"/>
        </w:rPr>
        <w:t>) учебные действия, которые, безусловно, повлияли и на изложение предметных учебных действий.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Описание места учебного предмета, курса в учебном плане: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sz w:val="26"/>
        </w:rPr>
        <w:t xml:space="preserve">Согласно учебному плану образовательного учреждения всего на изучение математики во 2 классе выделяется </w:t>
      </w:r>
      <w:r w:rsidRPr="007B6052">
        <w:rPr>
          <w:rFonts w:ascii="Times New Roman" w:hAnsi="Times New Roman"/>
          <w:b/>
          <w:sz w:val="26"/>
        </w:rPr>
        <w:t>136 ч</w:t>
      </w:r>
      <w:r w:rsidRPr="007B6052">
        <w:rPr>
          <w:rFonts w:ascii="Times New Roman" w:hAnsi="Times New Roman"/>
          <w:sz w:val="26"/>
        </w:rPr>
        <w:t>. (</w:t>
      </w:r>
      <w:r w:rsidRPr="007B6052">
        <w:rPr>
          <w:rFonts w:ascii="Times New Roman" w:hAnsi="Times New Roman"/>
          <w:b/>
          <w:sz w:val="26"/>
        </w:rPr>
        <w:t>4</w:t>
      </w:r>
      <w:r w:rsidRPr="007B6052">
        <w:rPr>
          <w:rFonts w:ascii="Times New Roman" w:hAnsi="Times New Roman"/>
          <w:b/>
          <w:color w:val="339966"/>
          <w:sz w:val="26"/>
        </w:rPr>
        <w:t xml:space="preserve"> </w:t>
      </w:r>
      <w:r w:rsidRPr="007B6052">
        <w:rPr>
          <w:rFonts w:ascii="Times New Roman" w:hAnsi="Times New Roman"/>
          <w:b/>
          <w:sz w:val="26"/>
        </w:rPr>
        <w:t>ч</w:t>
      </w:r>
      <w:r w:rsidRPr="007B6052">
        <w:rPr>
          <w:rFonts w:ascii="Times New Roman" w:hAnsi="Times New Roman"/>
          <w:sz w:val="26"/>
        </w:rPr>
        <w:t xml:space="preserve">. - в неделю, </w:t>
      </w:r>
      <w:r w:rsidRPr="007B6052">
        <w:rPr>
          <w:rFonts w:ascii="Times New Roman" w:hAnsi="Times New Roman"/>
          <w:b/>
          <w:sz w:val="26"/>
        </w:rPr>
        <w:t>3</w:t>
      </w:r>
      <w:r w:rsidR="001E61EF">
        <w:rPr>
          <w:rFonts w:ascii="Times New Roman" w:hAnsi="Times New Roman"/>
          <w:b/>
          <w:sz w:val="26"/>
        </w:rPr>
        <w:t xml:space="preserve">5 </w:t>
      </w:r>
      <w:r w:rsidRPr="007B6052">
        <w:rPr>
          <w:rFonts w:ascii="Times New Roman" w:hAnsi="Times New Roman"/>
          <w:sz w:val="26"/>
        </w:rPr>
        <w:t xml:space="preserve">учебные недели в </w:t>
      </w:r>
      <w:proofErr w:type="spellStart"/>
      <w:r w:rsidRPr="007B6052">
        <w:rPr>
          <w:rFonts w:ascii="Times New Roman" w:hAnsi="Times New Roman"/>
          <w:sz w:val="26"/>
        </w:rPr>
        <w:t>уч</w:t>
      </w:r>
      <w:proofErr w:type="spellEnd"/>
      <w:r w:rsidRPr="007B6052">
        <w:rPr>
          <w:rFonts w:ascii="Times New Roman" w:hAnsi="Times New Roman"/>
          <w:sz w:val="26"/>
        </w:rPr>
        <w:t>. году).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szCs w:val="28"/>
          <w:lang w:eastAsia="ru-RU"/>
        </w:rPr>
        <w:t>Описание ценностных ориентиров содержания  учебного предмета: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spacing w:after="0" w:line="270" w:lineRule="atLeast"/>
        <w:ind w:firstLine="708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 основе  учебно-воспитательного процесса лежат следующие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ценности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математики: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 по времени, образование целого из частей, изменение формы, размера и т.д.);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 xml:space="preserve">Личностные, </w:t>
      </w:r>
      <w:proofErr w:type="spellStart"/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метапредметные</w:t>
      </w:r>
      <w:proofErr w:type="spellEnd"/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 xml:space="preserve"> и предметные результаты освоения конкретного учебного предмета, курса: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>обучающимися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следующих личностных, </w:t>
      </w:r>
      <w:proofErr w:type="spellStart"/>
      <w:r w:rsidRPr="007B6052">
        <w:rPr>
          <w:rFonts w:ascii="Times New Roman" w:hAnsi="Times New Roman" w:cs="Arial"/>
          <w:color w:val="000000"/>
          <w:sz w:val="26"/>
          <w:lang w:eastAsia="ru-RU"/>
        </w:rPr>
        <w:t>метапредметных</w:t>
      </w:r>
      <w:proofErr w:type="spell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и предметных результатов.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Личностными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результатами обучающихся являются: готовность ученика целенаправленно использовать знания в учении и в повседневной  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 интерес к математической науке.</w:t>
      </w:r>
      <w:proofErr w:type="gramEnd"/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spellStart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Метапредметными</w:t>
      </w:r>
      <w:proofErr w:type="spellEnd"/>
      <w:r w:rsidRPr="007B6052">
        <w:rPr>
          <w:rFonts w:ascii="Times New Roman" w:hAnsi="Times New Roman" w:cs="Arial"/>
          <w:color w:val="000000"/>
          <w:sz w:val="26"/>
          <w:lang w:eastAsia="ru-RU"/>
        </w:rPr>
        <w:t> 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</w:t>
      </w: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>ь-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решать учебные задачи с помощью знаков (символов), планировать, контролировать и корректировать ход решения учебной задачи.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b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b/>
          <w:b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Регулятивные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 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b/>
          <w:b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Познавательные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>Ученик научится или получит возможность научиться: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b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подводить под понятие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 (формулировать правило) на основе выделения существенных признаков</w:t>
      </w:r>
      <w:r w:rsidRPr="007B6052">
        <w:rPr>
          <w:rFonts w:ascii="Times New Roman" w:hAnsi="Times New Roman"/>
          <w:b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владеть общими приемами решения задач, выполнения заданий и вычислений: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sz w:val="26"/>
          <w:szCs w:val="24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>б) выполнять задания на основе рисунков и схем, выполненных или составленных самостоятельно;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>в) выполнять задания на основе использования свойств  арифметических действий;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- проводить сравнение, </w:t>
      </w:r>
      <w:proofErr w:type="spellStart"/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сериацию</w:t>
      </w:r>
      <w:proofErr w:type="spellEnd"/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, классификации,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строить объяснение в устной форме по предложенному плану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- использовать (строить) таблицы, проверять по таблице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- выполнять действия по заданному алгоритму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 w:firstLine="537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 xml:space="preserve">  –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 строить логическую цепь рассуждений;</w:t>
      </w:r>
    </w:p>
    <w:p w:rsidR="00EB201B" w:rsidRPr="007B6052" w:rsidRDefault="00EB201B" w:rsidP="007B6052">
      <w:pPr>
        <w:pStyle w:val="1"/>
        <w:ind w:left="0" w:firstLine="537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lastRenderedPageBreak/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Коммуникативные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</w:p>
    <w:p w:rsidR="00EB201B" w:rsidRPr="007B6052" w:rsidRDefault="00EB201B" w:rsidP="007B6052">
      <w:pPr>
        <w:spacing w:after="0" w:line="270" w:lineRule="atLeast"/>
        <w:ind w:firstLine="708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Предметными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Предметными результатами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изучения курса «Математика»    во  2-м классе является формирование следующих умений: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читать и записывать все однозначные, двузначные и трехзначные числа;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сравнивать изученные числа и записывать результат сравнения с помощью знаков</w:t>
      </w: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(&gt;,  &lt; 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>или =);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правила прибавления числа к сумме и суммы к числу;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переместительное свойство сложения и умножения;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правила сложения и вычитания с нулём, умножение с нулём и единицей;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письменное сложение и вычитание чисел в пределах трёх разрядов на уровне навыка;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строить отрезки заданной длины при помощи измерительной линейки;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значение сумм и разностей отрезков данной длины при помощи измерительной линейки и вычислений;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выражать длину отрезка, используя разные единицы длины (например, 1м 6дм или 16дм или 160см);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и формулировать составные задачи;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формулировать обратную задачу и использовать её для проверки решения данной.</w:t>
      </w:r>
    </w:p>
    <w:p w:rsidR="00EB201B" w:rsidRPr="007B6052" w:rsidRDefault="00EB201B" w:rsidP="007B6052">
      <w:pPr>
        <w:spacing w:after="0" w:line="270" w:lineRule="atLeast"/>
        <w:ind w:firstLine="284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Планируемые результаты освоения учебной программы    по предмету «Математика» к концу 2-го года обучения: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Обучающиеся научатся: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вести счёт десятками и сотнями;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различать термины «число» и «цифра»;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числа от 1 до 12, записанные римскими цифрами;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читать и записывать все однозначные, двузначные и трёхзначные числа;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изображать числа на числовом луче;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термины «натуральный ряд» и «натуральное число»;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первые несколько чисел числовых последовательностей, составленных по заданному правилу;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таблицу сложения однозначных чисел;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правила прибавления числа к сумме и суммы к числу;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переместительное свойство сложения и умножения;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правила сложения и вычитания с нулём, умножения с нулём и единицей;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письменное сложение и вычитание чисел в пределах трёх разрядов;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неизвестные компоненты действий сложения и вычитания;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действия умножения и деления, используя соответствующие знаки;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употреблять термины, связанные с действиями умножения и деления;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таблицу умножения однозначных чисел;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деление на основе предметных действий и на основе вычитания;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порядка выполнения действий в выражениях со скобками и без скобок, содержащие действия одной или нескольких ступеней;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чертить с помощью линейки прямые, отрезки, ломаные, многоугольники;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определять длину предметов и расстояния при помощи измерительных приборов;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строить отрезки заданной длины при помощи измерительной линейки;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выражать длину отрезка, используя разные единицы длины;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соотношения между изученными единицами длины для выражения длины в разных единицах;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распознавать на чертеже и изображать прямую, луч, угол, прямоугольник, квадрат, окружность, круг, элементы окружности: центр, радиус, диаметр; употреблять соответствующие термины;</w:t>
      </w:r>
      <w:proofErr w:type="gramEnd"/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измерять и выражать массу, используя изученные единицы массы;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измерять и выражать продолжительность, используя единицы времени; переходить от одних единиц времени к другим;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строить графическую модель арифметической сюжетной задачи; решать задачу на основе построенной модели;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решать простые и составные задачи на разностное и кратное сравнение;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разбивать составную задачу на простые и использовать две формы записи решения;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формулировать обратную задачу и использовать её для проверки решения данной;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читать и заполнять строки таблицы.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  </w:t>
      </w:r>
      <w:proofErr w:type="gramStart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Обучающие</w:t>
      </w:r>
      <w:proofErr w:type="gramEnd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 xml:space="preserve"> получат возможность научиться: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позиционный принцип записи чисел в десятичной системе;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пользоваться римскими цифрами для записи чисел первого и второго десятков;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и использовать термины «натуральный ряд» и «натуральное число»;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и использовать термин «числовая последовательность»;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количественный смысл действий (операций) умножения и деления над целыми неотрицательными числами;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связь между компонентами и результатом действия (для сложения и вычитания);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действия с неизвестным компонентом в виде уравнения;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понимать бесконечность </w:t>
      </w:r>
      <w:proofErr w:type="gramStart"/>
      <w:r w:rsidRPr="007B6052">
        <w:rPr>
          <w:rFonts w:ascii="Times New Roman" w:hAnsi="Times New Roman" w:cs="Arial"/>
          <w:color w:val="000000"/>
          <w:sz w:val="26"/>
          <w:lang w:eastAsia="ru-RU"/>
        </w:rPr>
        <w:t>прямой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 и луча;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характеристическое свойство точек окружности и круга;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римские цифры для записи веков и различных дат;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оперировать с изменяющимися единицами времени на основе их соотношения с сутками; использовать термин «високосный год»;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связь между временем-датой и временем-продолжительностью;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моделировать арифметические сюжетные задачи, используя различные графические модели и уравнения;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33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Содержание учебного предмета, курса: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Числа и величины (20 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          </w:t>
      </w:r>
      <w:r w:rsidRPr="007B6052">
        <w:rPr>
          <w:rFonts w:ascii="Times New Roman" w:hAnsi="Times New Roman"/>
          <w:color w:val="000000"/>
          <w:sz w:val="26"/>
          <w:szCs w:val="24"/>
          <w:u w:val="single"/>
          <w:lang w:eastAsia="ru-RU"/>
        </w:rPr>
        <w:t> Нумерация и сравнение чисел.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Устная и письменная нумерация двузначных чисел: разрядный принцип десятичной записи чисел, принцип построения количественных числительных для двузначных чисел. «Круглые» десятки.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Устная и письменная нумерация трехзначных чисел: получение новой разрядной единиц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ы-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сотни, третий разряд десятичной записи- разряд сотен, принцип построения количественных числительных для трехзначных  чисел. «Круглые» сотни. Представление трехзначных чисел в виде суммы разрядных слагаемых.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Сравнение чисел на основе десятичной нумерации.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Изображение чисел на числовом луче. Понятие о натуральном ряде чисел.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Знакомство с римской письменной нумерацией.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Числовые равенства и неравенства.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Первичные представления о числовых последовательностях.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          </w:t>
      </w:r>
      <w:r w:rsidRPr="007B6052">
        <w:rPr>
          <w:rFonts w:ascii="Times New Roman" w:hAnsi="Times New Roman"/>
          <w:color w:val="000000"/>
          <w:sz w:val="26"/>
          <w:szCs w:val="24"/>
          <w:u w:val="single"/>
          <w:lang w:eastAsia="ru-RU"/>
        </w:rPr>
        <w:t> Величины и их измерения</w:t>
      </w:r>
      <w:r w:rsidRPr="007B6052">
        <w:rPr>
          <w:rFonts w:ascii="Times New Roman" w:hAnsi="Times New Roman"/>
          <w:i/>
          <w:iCs/>
          <w:color w:val="000000"/>
          <w:sz w:val="26"/>
          <w:szCs w:val="24"/>
          <w:lang w:eastAsia="ru-RU"/>
        </w:rPr>
        <w:t>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i/>
          <w:i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Сравнение предметов по массе без ее измерения. Единица массы - килограмм. Измерение массы. Единица массы - центнер. Соотношение между центнером и килограммом (1 ц=100 кг).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Время как продолжительность. Измерение времени с помощью часов. Время как  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времени: месяц, год и возможные варианты их соотношения с сутками. Календарь. Единица времени - век. Соотношение между веком и годом (1 век=100 лет).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    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Арифметические действия (46ч)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lastRenderedPageBreak/>
        <w:t>         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Умножение как сложение одинаковых слагаемых. Знак умножения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(</w:t>
      </w:r>
      <w:r w:rsidRPr="007B6052">
        <w:rPr>
          <w:rFonts w:ascii="Times New Roman" w:hAnsi="Times New Roman"/>
          <w:color w:val="000000"/>
          <w:sz w:val="26"/>
          <w:szCs w:val="24"/>
          <w:vertAlign w:val="superscript"/>
          <w:lang w:eastAsia="ru-RU"/>
        </w:rPr>
        <w:t>.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). 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Увеличение числа в несколько раз.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 Порядок выполнения действий: умножение и сложение, умножение и вычитание. Действия первой и второй степени.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Знакомство с делением на уровне предметных действий. Знак деления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(:). 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Деление как измерение величины или численности множества с помощью заданной единицы.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Использование свойств арифметических действий для удобства вычислений.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Текстовые задачи (36ч)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Арифметическая  текстовая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Графическое моделирование связей между данными и искомыми.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        Составная задача. Преобразование составной задачи в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простую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        Понятие об обратной задаче. Составление задач, обратных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данной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. Решение обратной задачи как способ проверки правильности решения данной.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        Моделирование и решение простых арифметических сюжетных задач на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сложение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и вычитание с помощью уравнений.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Задачи на время (начало, конец, продолжительность события).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Решение разнообразных текстовых задач арифметическим способом.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Задачи, содержание отношения «больше на (в)…», «меньше на (в)…»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Геометрические фигуры (10ч)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lastRenderedPageBreak/>
        <w:t xml:space="preserve">        Бесконечность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прямой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        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данному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Геометрические величины (12ч)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Единица длины - метр. Соотношения между метром, дециметром и сантиметром (1м=10дм=100см).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        Длина </w:t>
      </w:r>
      <w:proofErr w:type="gramStart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ломаной</w:t>
      </w:r>
      <w:proofErr w:type="gramEnd"/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. Периметр многоугольника. Вычисление периметра квадрата и прямоугольника.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Работа с данными (12ч)</w:t>
      </w:r>
    </w:p>
    <w:p w:rsidR="00EB201B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Pr="007B6052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EB201B" w:rsidRPr="0076424E" w:rsidRDefault="00EB201B" w:rsidP="007B60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/>
          <w:b/>
          <w:color w:val="000000"/>
          <w:sz w:val="26"/>
          <w:szCs w:val="28"/>
          <w:lang w:eastAsia="ru-RU"/>
        </w:rPr>
        <w:t>Тематическое планирование с определением основных видов учебной деятельности обучающихся:</w:t>
      </w:r>
    </w:p>
    <w:p w:rsidR="0076424E" w:rsidRPr="007B6052" w:rsidRDefault="0076424E" w:rsidP="0076424E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tbl>
      <w:tblPr>
        <w:tblW w:w="10490" w:type="dxa"/>
        <w:tblCellSpacing w:w="0" w:type="dxa"/>
        <w:tblInd w:w="1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81"/>
        <w:gridCol w:w="2127"/>
        <w:gridCol w:w="773"/>
        <w:gridCol w:w="398"/>
        <w:gridCol w:w="750"/>
        <w:gridCol w:w="165"/>
        <w:gridCol w:w="65"/>
        <w:gridCol w:w="1590"/>
        <w:gridCol w:w="220"/>
        <w:gridCol w:w="65"/>
        <w:gridCol w:w="1741"/>
        <w:gridCol w:w="15"/>
      </w:tblGrid>
      <w:tr w:rsidR="0076424E" w:rsidRPr="007920F3" w:rsidTr="00A81ADD">
        <w:trPr>
          <w:gridAfter w:val="1"/>
          <w:wAfter w:w="29" w:type="dxa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201B" w:rsidRPr="007B6052" w:rsidRDefault="0076424E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Наиминование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разделов и тем: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76424E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 xml:space="preserve">Всего </w:t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часов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уроки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практические работы</w:t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контрольные работы</w:t>
            </w:r>
          </w:p>
        </w:tc>
      </w:tr>
      <w:tr w:rsidR="00A81ADD" w:rsidRPr="007920F3" w:rsidTr="00A81ADD">
        <w:trPr>
          <w:gridAfter w:val="1"/>
          <w:wAfter w:w="29" w:type="dxa"/>
          <w:trHeight w:val="3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1.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Числа и величины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15</w:t>
            </w: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</w:t>
            </w:r>
          </w:p>
        </w:tc>
      </w:tr>
      <w:tr w:rsidR="00A81ADD" w:rsidRPr="007920F3" w:rsidTr="00A81ADD">
        <w:trPr>
          <w:gridAfter w:val="1"/>
          <w:wAfter w:w="29" w:type="dxa"/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Арифметические действия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46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37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7</w:t>
            </w:r>
          </w:p>
        </w:tc>
      </w:tr>
      <w:tr w:rsidR="0076424E" w:rsidRPr="007920F3" w:rsidTr="00A81ADD">
        <w:trPr>
          <w:gridAfter w:val="1"/>
          <w:wAfter w:w="29" w:type="dxa"/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</w:t>
            </w:r>
          </w:p>
        </w:tc>
        <w:tc>
          <w:tcPr>
            <w:tcW w:w="2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EB201B" w:rsidRPr="007B6052" w:rsidRDefault="00EB201B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proofErr w:type="gramStart"/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Текстовые</w:t>
            </w:r>
            <w:proofErr w:type="gramEnd"/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</w:t>
            </w:r>
            <w:r w:rsidR="00A81ADD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задач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36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35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</w:p>
        </w:tc>
      </w:tr>
      <w:tr w:rsidR="0076424E" w:rsidRPr="007920F3" w:rsidTr="00A81ADD">
        <w:trPr>
          <w:gridAfter w:val="1"/>
          <w:wAfter w:w="29" w:type="dxa"/>
          <w:trHeight w:val="330"/>
          <w:tblCellSpacing w:w="0" w:type="dxa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</w:tr>
      <w:tr w:rsidR="00A81ADD" w:rsidRPr="007920F3" w:rsidTr="00A81ADD">
        <w:trPr>
          <w:trHeight w:val="1065"/>
          <w:tblCellSpacing w:w="0" w:type="dxa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Геометрические фигуры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2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</w:tr>
      <w:tr w:rsidR="00A81ADD" w:rsidRPr="007920F3" w:rsidTr="00A81ADD">
        <w:trPr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Геометрические величины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7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5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</w:tr>
      <w:tr w:rsidR="00A81ADD" w:rsidRPr="007920F3" w:rsidTr="00A81ADD">
        <w:trPr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Работа с данными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5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</w:p>
        </w:tc>
      </w:tr>
      <w:tr w:rsidR="00A81ADD" w:rsidRPr="007920F3" w:rsidTr="00A81ADD">
        <w:trPr>
          <w:trHeight w:val="60"/>
          <w:tblCellSpacing w:w="0" w:type="dxa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Итого: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40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9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8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30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12</w:t>
            </w:r>
          </w:p>
        </w:tc>
      </w:tr>
    </w:tbl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Основные виды учебной деятельности учащихся   в процессе освоения курса «Математика»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Моделирование ситуаций арифметическими и геометрическими средствами.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Осуществление упорядочения предметов и математических объектов (по длине, площади, вместимости, массе, времени).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Описание явлений и событий с использованием величин.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Распознавание моделей геометрических фигур в окружающих предметах.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Обнаружение математических зависимостей в окружающей действительности.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Разрешение житейских ситуаций, требующих умения находить геометрические величины (планировка, разметка).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Выполнение геометрических построений.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Выполнение арифметических вычислений.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Прогнозирование результата вычисления, решения задачи.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Планирование решения задачи, выполнение задания на измерение, вычисление, построение.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Сравнение разных способов вычислений, решения задачи; выбор рационального (удобного) способа.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Накопление и использование опыта решения разнообразных математических задач.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Пошаговый контроль правильности и полноты выполнения алгоритма арифметического действия (сложения, вычитания, умножения, деления), решения текстовой задачи, построения геометрической фигуры.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Поиск, обнаружение и устранение ошибок логического (в ходе решения) и арифметического (в вычислениях) характера.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Поиск необходимой информации в учебной и справочной литературе.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Сбор, обобщение и представление данных, полученных в ходе самостоятельно проведенных наблюдений, опросов, поисков.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bookmarkStart w:id="0" w:name="0"/>
      <w:bookmarkStart w:id="1" w:name="c9292e34c00b9bd13f1328f190397a5f1f1f905f"/>
      <w:bookmarkEnd w:id="0"/>
      <w:bookmarkEnd w:id="1"/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 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Описание материально - технического обеспечения образовательного процесса: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Для характеристики количественных показателей используются следующие обозначения: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Д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демонстрационный экземпляр (не менее одного на класс)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К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> – полный комплект (на каждого ученика класса)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Ф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комплект для фронтальной работы (не менее одного на двух учеников)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proofErr w:type="gramStart"/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</w:t>
      </w:r>
      <w:proofErr w:type="gramEnd"/>
      <w:r w:rsidRPr="007B6052">
        <w:rPr>
          <w:rFonts w:ascii="Times New Roman" w:hAnsi="Times New Roman" w:cs="Arial"/>
          <w:color w:val="000000"/>
          <w:sz w:val="26"/>
          <w:lang w:eastAsia="ru-RU"/>
        </w:rPr>
        <w:t> – комплект для работы в группах (один на 5-6 учащихся)</w:t>
      </w:r>
    </w:p>
    <w:tbl>
      <w:tblPr>
        <w:tblW w:w="15567" w:type="dxa"/>
        <w:tblCellMar>
          <w:left w:w="0" w:type="dxa"/>
          <w:right w:w="0" w:type="dxa"/>
        </w:tblCellMar>
        <w:tblLook w:val="00A0"/>
      </w:tblPr>
      <w:tblGrid>
        <w:gridCol w:w="8657"/>
        <w:gridCol w:w="927"/>
        <w:gridCol w:w="5983"/>
      </w:tblGrid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bookmarkStart w:id="2" w:name="1"/>
            <w:bookmarkStart w:id="3" w:name="d4dbaa95f665441509efa6c3cdc1e29b130a01a6"/>
            <w:bookmarkEnd w:id="2"/>
            <w:bookmarkEnd w:id="3"/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Кол-во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Примечание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Библиотечный фонд (книгопечатная продукция)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40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Учебно-методические комплекты УМК «Перспективная начальная школа» для 1-4 классов (программа, учебники, рабочие тетради, дидактические материалы)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Библиотечный фонд сформирован на основе федерального перечня учебников, допущенных </w:t>
            </w:r>
            <w:proofErr w:type="spellStart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Минобрнауки</w:t>
            </w:r>
            <w:proofErr w:type="spellEnd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 РФ</w:t>
            </w:r>
          </w:p>
        </w:tc>
      </w:tr>
      <w:tr w:rsidR="00EB201B" w:rsidRPr="007920F3" w:rsidTr="00DA396E">
        <w:trPr>
          <w:trHeight w:val="54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       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                                                                       </w:t>
            </w: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Печатные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7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Демонстрационный материал (картинки предметные, таблицы) в соответствии с основными темами программы обучения.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Карточки с заданиями по математике для 1-4 классов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proofErr w:type="gramStart"/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</w:t>
            </w:r>
            <w:proofErr w:type="gram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Многоразового использования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Компьютерные и информационно-коммуникативные средства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Электронные справочники,  электронные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proofErr w:type="gramStart"/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</w:t>
            </w:r>
            <w:proofErr w:type="gram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proofErr w:type="gramStart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Необходимых</w:t>
            </w:r>
            <w:proofErr w:type="gramEnd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 технических условия обеспечены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Технические средства обучения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76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Классная доска с набором приспособлений для крепления таблиц.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Магнитная доска.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Ноутбук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proofErr w:type="spellStart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Мультимедийный</w:t>
            </w:r>
            <w:proofErr w:type="spellEnd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 проектор.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Сканер, принтер, цифровая видеокамера в ноутбуке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Демонстрационные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12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Объекты, предназначенные для демонстрации счёта: от 1 до 10; от 1 до 20; от 1 </w:t>
            </w:r>
            <w:proofErr w:type="gramStart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до</w:t>
            </w:r>
            <w:proofErr w:type="gramEnd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 100.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Наглядные пособия для изучения состава чисел (карточки с цифрами и с другими знаками)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измерительные инструменты и приспособления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пособия для изучения геометрических величин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пособия для изучения геометрических фигур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Демонстрационная таблица умножения, таблица Пифагора (пустая и заполненная)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Д/К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демонстрации (крепления, магниты)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выполнения построений и измерений на доске (с использованием мела, маркера)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демонстрации (крепления, магниты)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Экранно-звуковые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Видеофрагменты и другие информационные объекты, отражающие темы курса  математики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Объекты, предназначенные для демонстрации счёта: от 1 до 10; от 1 до 20; от 1 </w:t>
            </w:r>
            <w:proofErr w:type="gramStart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до</w:t>
            </w:r>
            <w:proofErr w:type="gramEnd"/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 xml:space="preserve"> 100.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Наглядные пособия для изучения состава чисел (карточки с цифрами и с другими знаками)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Учебные пособия для изучения геометрических величин (длины, периметра, площади): палетка, квадраты, и др.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Учебные пособия для изучения геометрических фигур, геометрического конструирования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Размер каждого объекта не менее 5 см.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Игры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Настольные развивающие игры.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Конструкторы.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Электронные игры развивающего характера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Ф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</w:tbl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sectPr w:rsidR="00EB201B" w:rsidRPr="007B6052" w:rsidSect="00DA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01B" w:rsidRDefault="00EB201B" w:rsidP="007B6052">
      <w:pPr>
        <w:spacing w:after="0" w:line="240" w:lineRule="auto"/>
      </w:pPr>
      <w:r>
        <w:separator/>
      </w:r>
    </w:p>
  </w:endnote>
  <w:endnote w:type="continuationSeparator" w:id="0">
    <w:p w:rsidR="00EB201B" w:rsidRDefault="00EB201B" w:rsidP="007B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DB3666">
    <w:pPr>
      <w:pStyle w:val="a7"/>
      <w:jc w:val="center"/>
    </w:pPr>
    <w:fldSimple w:instr=" PAGE   \* MERGEFORMAT ">
      <w:r w:rsidR="001E4DB2">
        <w:rPr>
          <w:noProof/>
        </w:rPr>
        <w:t>12</w:t>
      </w:r>
    </w:fldSimple>
  </w:p>
  <w:p w:rsidR="00EB201B" w:rsidRDefault="00EB20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01B" w:rsidRDefault="00EB201B" w:rsidP="007B6052">
      <w:pPr>
        <w:spacing w:after="0" w:line="240" w:lineRule="auto"/>
      </w:pPr>
      <w:r>
        <w:separator/>
      </w:r>
    </w:p>
  </w:footnote>
  <w:footnote w:type="continuationSeparator" w:id="0">
    <w:p w:rsidR="00EB201B" w:rsidRDefault="00EB201B" w:rsidP="007B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5F"/>
    <w:multiLevelType w:val="multilevel"/>
    <w:tmpl w:val="482074B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B90C55"/>
    <w:multiLevelType w:val="multilevel"/>
    <w:tmpl w:val="925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C0DC7"/>
    <w:multiLevelType w:val="multilevel"/>
    <w:tmpl w:val="5B5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6C7581"/>
    <w:multiLevelType w:val="hybridMultilevel"/>
    <w:tmpl w:val="D6E21D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A04F0E"/>
    <w:multiLevelType w:val="multilevel"/>
    <w:tmpl w:val="3992F60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3A0DD1"/>
    <w:multiLevelType w:val="multilevel"/>
    <w:tmpl w:val="89C60BFE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817"/>
    <w:rsid w:val="00135817"/>
    <w:rsid w:val="001E4DB2"/>
    <w:rsid w:val="001E61EF"/>
    <w:rsid w:val="002169DC"/>
    <w:rsid w:val="00250422"/>
    <w:rsid w:val="002859D8"/>
    <w:rsid w:val="003E4092"/>
    <w:rsid w:val="0076424E"/>
    <w:rsid w:val="007920F3"/>
    <w:rsid w:val="007B6052"/>
    <w:rsid w:val="00A81ADD"/>
    <w:rsid w:val="00A96633"/>
    <w:rsid w:val="00B639DF"/>
    <w:rsid w:val="00B85A26"/>
    <w:rsid w:val="00DA396E"/>
    <w:rsid w:val="00DB3666"/>
    <w:rsid w:val="00E728D8"/>
    <w:rsid w:val="00EB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D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135817"/>
    <w:rPr>
      <w:rFonts w:cs="Times New Roman"/>
    </w:rPr>
  </w:style>
  <w:style w:type="paragraph" w:customStyle="1" w:styleId="c34">
    <w:name w:val="c3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13581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5817"/>
    <w:rPr>
      <w:rFonts w:cs="Times New Roman"/>
    </w:rPr>
  </w:style>
  <w:style w:type="character" w:customStyle="1" w:styleId="c28">
    <w:name w:val="c28"/>
    <w:basedOn w:val="a0"/>
    <w:uiPriority w:val="99"/>
    <w:rsid w:val="00135817"/>
    <w:rPr>
      <w:rFonts w:cs="Times New Roman"/>
    </w:rPr>
  </w:style>
  <w:style w:type="paragraph" w:customStyle="1" w:styleId="c4">
    <w:name w:val="c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135817"/>
    <w:rPr>
      <w:rFonts w:cs="Times New Roman"/>
    </w:rPr>
  </w:style>
  <w:style w:type="paragraph" w:customStyle="1" w:styleId="c27">
    <w:name w:val="c2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135817"/>
    <w:rPr>
      <w:rFonts w:cs="Times New Roman"/>
    </w:rPr>
  </w:style>
  <w:style w:type="paragraph" w:customStyle="1" w:styleId="c3">
    <w:name w:val="c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35817"/>
    <w:rPr>
      <w:rFonts w:cs="Times New Roman"/>
      <w:color w:val="0000FF"/>
      <w:u w:val="single"/>
    </w:rPr>
  </w:style>
  <w:style w:type="paragraph" w:customStyle="1" w:styleId="c22">
    <w:name w:val="c22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581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3E4092"/>
    <w:pPr>
      <w:spacing w:after="0" w:line="240" w:lineRule="auto"/>
      <w:ind w:left="720"/>
    </w:pPr>
    <w:rPr>
      <w:rFonts w:eastAsia="Times New Roman"/>
      <w:kern w:val="1"/>
      <w:lang w:val="en-US" w:eastAsia="ar-SA"/>
    </w:rPr>
  </w:style>
  <w:style w:type="paragraph" w:styleId="a5">
    <w:name w:val="header"/>
    <w:basedOn w:val="a"/>
    <w:link w:val="a6"/>
    <w:uiPriority w:val="99"/>
    <w:semiHidden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B6052"/>
    <w:rPr>
      <w:rFonts w:cs="Times New Roman"/>
    </w:rPr>
  </w:style>
  <w:style w:type="paragraph" w:styleId="a7">
    <w:name w:val="footer"/>
    <w:basedOn w:val="a"/>
    <w:link w:val="a8"/>
    <w:uiPriority w:val="99"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60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49FB1-5825-4F4C-842E-116AE87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3413</Words>
  <Characters>25182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Саида</cp:lastModifiedBy>
  <cp:revision>7</cp:revision>
  <cp:lastPrinted>2014-08-29T12:47:00Z</cp:lastPrinted>
  <dcterms:created xsi:type="dcterms:W3CDTF">2013-06-30T09:21:00Z</dcterms:created>
  <dcterms:modified xsi:type="dcterms:W3CDTF">2014-11-07T11:09:00Z</dcterms:modified>
</cp:coreProperties>
</file>