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«Музыка» 3 класс </w:t>
      </w:r>
    </w:p>
    <w:p w:rsidR="007C04A2" w:rsidRPr="007C04A2" w:rsidRDefault="007C04A2" w:rsidP="007C04A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bookmarkStart w:id="0" w:name="_GoBack"/>
      <w:r w:rsidRPr="007C04A2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Рабочая учебная программа по музыке для обучающихся 3 класса </w:t>
      </w:r>
      <w:r w:rsidRPr="007C04A2">
        <w:rPr>
          <w:rFonts w:ascii="Times New Roman" w:hAnsi="Times New Roman"/>
          <w:sz w:val="24"/>
          <w:szCs w:val="24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 w:rsidRPr="007C04A2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 w:rsidRPr="007C04A2">
        <w:rPr>
          <w:rFonts w:ascii="Times New Roman" w:hAnsi="Times New Roman"/>
          <w:sz w:val="24"/>
          <w:szCs w:val="24"/>
        </w:rPr>
        <w:t xml:space="preserve">, М., Просвещение, 2017 год, для 3 класса; Программ по музыке для </w:t>
      </w:r>
      <w:proofErr w:type="gramStart"/>
      <w:r w:rsidRPr="007C04A2">
        <w:rPr>
          <w:rFonts w:ascii="Times New Roman" w:hAnsi="Times New Roman"/>
          <w:sz w:val="24"/>
          <w:szCs w:val="24"/>
        </w:rPr>
        <w:t>общеобразовательных  учреждений</w:t>
      </w:r>
      <w:proofErr w:type="gramEnd"/>
      <w:r w:rsidRPr="007C04A2">
        <w:rPr>
          <w:rFonts w:ascii="Times New Roman" w:hAnsi="Times New Roman"/>
          <w:sz w:val="24"/>
          <w:szCs w:val="24"/>
        </w:rPr>
        <w:t>, М.: «Просвещение», 2014 год  и ориентированной на достижение планируемых результатов ФГОС.</w:t>
      </w:r>
    </w:p>
    <w:p w:rsidR="007C04A2" w:rsidRPr="007C04A2" w:rsidRDefault="007C04A2" w:rsidP="007C04A2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 xml:space="preserve">      На изучение предмета «</w:t>
      </w:r>
      <w:proofErr w:type="gramStart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>Музыка»  в</w:t>
      </w:r>
      <w:proofErr w:type="gramEnd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 xml:space="preserve">  3 классе в учебном плане  филиала МАОУ «</w:t>
      </w:r>
      <w:proofErr w:type="spellStart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-  «</w:t>
      </w:r>
      <w:proofErr w:type="spellStart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 w:rsidRPr="007C04A2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 час в неделю,  34 часа в год.</w:t>
      </w:r>
    </w:p>
    <w:p w:rsidR="004726BE" w:rsidRPr="007C04A2" w:rsidRDefault="004726BE" w:rsidP="004726BE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bookmarkEnd w:id="0"/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 </w:t>
      </w: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1: «Россия – Родина моя»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i/>
          <w:sz w:val="24"/>
          <w:szCs w:val="24"/>
        </w:rPr>
        <w:t>5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Мелодия  -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душа музыки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</w:t>
      </w:r>
      <w:proofErr w:type="gramStart"/>
      <w:r w:rsidRPr="004726B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472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«Виват, Россия!» (кант). «Наша слава – русская держава».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4726BE">
        <w:rPr>
          <w:rFonts w:ascii="Times New Roman" w:hAnsi="Times New Roman" w:cs="Times New Roman"/>
          <w:i/>
          <w:sz w:val="24"/>
          <w:szCs w:val="24"/>
        </w:rPr>
        <w:t>С.С.Прокофьева «Александр Невский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».Образы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защитников Отечества в различных жанрах музыки.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4726BE">
        <w:rPr>
          <w:rFonts w:ascii="Times New Roman" w:hAnsi="Times New Roman" w:cs="Times New Roman"/>
          <w:i/>
          <w:sz w:val="24"/>
          <w:szCs w:val="24"/>
        </w:rPr>
        <w:t>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2: «День, полный событий» (4 часа).</w:t>
      </w:r>
    </w:p>
    <w:p w:rsidR="004726BE" w:rsidRPr="004726BE" w:rsidRDefault="004726BE" w:rsidP="004726B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6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3: «О России петь – что стремиться в храм» (4 часа).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Древнейшая песнь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материнства  «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Радуйся, Мария!» 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ИЗО. 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Святые  земли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Русской. Княгиня Ольга. Князь Владимир.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4: «Гори, гори ясно, чтобы не погасло!» (4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третьеклассников за 2 четверть.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4726BE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4726BE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русского  композитора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Н.Римского-Корсакова.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5: «В музыкальном театре» (6 часов).</w:t>
      </w:r>
    </w:p>
    <w:p w:rsidR="004726BE" w:rsidRPr="004726BE" w:rsidRDefault="004726BE" w:rsidP="004726BE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4726BE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».</w:t>
      </w:r>
      <w:r w:rsidRPr="004726BE">
        <w:rPr>
          <w:rFonts w:ascii="Times New Roman" w:hAnsi="Times New Roman" w:cs="Times New Roman"/>
          <w:sz w:val="24"/>
          <w:szCs w:val="24"/>
        </w:rPr>
        <w:t>Опера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>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К.Глюка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4726BE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4726BE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4726BE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4726BE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6: «В концертном зале» (5 часов).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).Обобщающий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урок 3 четверти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4726BE">
        <w:rPr>
          <w:rFonts w:ascii="Times New Roman" w:hAnsi="Times New Roman" w:cs="Times New Roman"/>
          <w:i/>
          <w:sz w:val="24"/>
          <w:szCs w:val="24"/>
        </w:rPr>
        <w:t>Выразительные возможности скрипки. Выдающиеся скрипичные мастера и исполнители. Обобщение музыкальных впечатлений третьеклассников за 3   четверть.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«Пер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».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Раздел 7: «Чтоб музыкантом быть, так надобно уменье» (6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исполнители.Музыка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– источник вдохновения и радости.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4726BE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4726BE" w:rsidRPr="004726BE" w:rsidRDefault="004726BE" w:rsidP="004726BE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4726BE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1150B"/>
    <w:rsid w:val="00292DDB"/>
    <w:rsid w:val="002B5938"/>
    <w:rsid w:val="004726BE"/>
    <w:rsid w:val="00541D38"/>
    <w:rsid w:val="0072779D"/>
    <w:rsid w:val="007C04A2"/>
    <w:rsid w:val="007D3257"/>
    <w:rsid w:val="00972BDD"/>
    <w:rsid w:val="00CF54BD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E662-27DE-4115-B629-173C886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  <w:style w:type="paragraph" w:customStyle="1" w:styleId="FR2">
    <w:name w:val="FR2"/>
    <w:rsid w:val="007C04A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28</cp:revision>
  <dcterms:created xsi:type="dcterms:W3CDTF">2019-11-19T17:50:00Z</dcterms:created>
  <dcterms:modified xsi:type="dcterms:W3CDTF">2020-01-10T05:13:00Z</dcterms:modified>
</cp:coreProperties>
</file>