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23403">
        <w:rPr>
          <w:rFonts w:ascii="Times New Roman" w:eastAsia="Times New Roman" w:hAnsi="Times New Roman" w:cs="Times New Roman"/>
        </w:rPr>
        <w:t>Филиал Муниципального автономного общеобразовательного учреждения «</w:t>
      </w:r>
      <w:proofErr w:type="spellStart"/>
      <w:r w:rsidRPr="00923403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923403">
        <w:rPr>
          <w:rFonts w:ascii="Times New Roman" w:eastAsia="Times New Roman" w:hAnsi="Times New Roman" w:cs="Times New Roman"/>
        </w:rPr>
        <w:t xml:space="preserve"> средняя общеобразовательная школа»</w:t>
      </w: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23403">
        <w:rPr>
          <w:rFonts w:ascii="Times New Roman" w:eastAsia="Times New Roman" w:hAnsi="Times New Roman" w:cs="Times New Roman"/>
        </w:rPr>
        <w:t>-«</w:t>
      </w:r>
      <w:proofErr w:type="spellStart"/>
      <w:r w:rsidRPr="00923403">
        <w:rPr>
          <w:rFonts w:ascii="Times New Roman" w:eastAsia="Times New Roman" w:hAnsi="Times New Roman" w:cs="Times New Roman"/>
        </w:rPr>
        <w:t>Полуяновская</w:t>
      </w:r>
      <w:proofErr w:type="spellEnd"/>
      <w:r w:rsidRPr="00923403">
        <w:rPr>
          <w:rFonts w:ascii="Times New Roman" w:eastAsia="Times New Roman" w:hAnsi="Times New Roman" w:cs="Times New Roman"/>
        </w:rPr>
        <w:t xml:space="preserve"> средняя общеобразовательная школа»</w:t>
      </w: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3403" w:rsidRPr="00923403" w:rsidRDefault="00923403" w:rsidP="000A325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3403" w:rsidRPr="00923403" w:rsidRDefault="000A3257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A3257">
        <w:rPr>
          <w:rFonts w:ascii="Calibri" w:eastAsia="Times New Roman" w:hAnsi="Calibri" w:cs="Times New Roman"/>
          <w:noProof/>
        </w:rPr>
        <w:drawing>
          <wp:inline distT="0" distB="0" distL="0" distR="0" wp14:anchorId="56D1BDB4" wp14:editId="03674BBE">
            <wp:extent cx="8124825" cy="1438275"/>
            <wp:effectExtent l="0" t="0" r="9525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3403" w:rsidRPr="00923403" w:rsidRDefault="00923403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923403">
        <w:rPr>
          <w:rFonts w:ascii="Times New Roman" w:eastAsia="Times New Roman" w:hAnsi="Times New Roman" w:cs="Times New Roman"/>
          <w:b/>
          <w:bCs/>
          <w:iCs/>
        </w:rPr>
        <w:t>РАБОЧАЯ ПРОГРАММА</w:t>
      </w:r>
    </w:p>
    <w:p w:rsidR="00923403" w:rsidRPr="00923403" w:rsidRDefault="00923403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923403">
        <w:rPr>
          <w:rFonts w:ascii="Times New Roman" w:eastAsia="Times New Roman" w:hAnsi="Times New Roman" w:cs="Times New Roman"/>
          <w:bCs/>
          <w:iCs/>
        </w:rPr>
        <w:t>по предмету «Родная литература»</w:t>
      </w:r>
    </w:p>
    <w:p w:rsidR="00923403" w:rsidRPr="00923403" w:rsidRDefault="00923403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для 9</w:t>
      </w:r>
      <w:r w:rsidRPr="00923403">
        <w:rPr>
          <w:rFonts w:ascii="Times New Roman" w:eastAsia="Times New Roman" w:hAnsi="Times New Roman" w:cs="Times New Roman"/>
          <w:bCs/>
          <w:iCs/>
        </w:rPr>
        <w:t xml:space="preserve"> класса</w:t>
      </w:r>
    </w:p>
    <w:p w:rsidR="00923403" w:rsidRPr="00923403" w:rsidRDefault="00923403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923403">
        <w:rPr>
          <w:rFonts w:ascii="Times New Roman" w:eastAsia="Times New Roman" w:hAnsi="Times New Roman" w:cs="Times New Roman"/>
          <w:bCs/>
          <w:iCs/>
        </w:rPr>
        <w:t>на 2019-2020 учебный год</w:t>
      </w:r>
    </w:p>
    <w:p w:rsidR="00923403" w:rsidRPr="00923403" w:rsidRDefault="00923403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 w:rsidRPr="00923403">
        <w:rPr>
          <w:rFonts w:ascii="Times New Roman" w:eastAsia="Times New Roman" w:hAnsi="Times New Roman" w:cs="Times New Roman"/>
          <w:bCs/>
          <w:iCs/>
          <w:color w:val="000000"/>
        </w:rPr>
        <w:t>Планирование составлено в соответствии</w:t>
      </w:r>
    </w:p>
    <w:p w:rsidR="00B80465" w:rsidRPr="00B80465" w:rsidRDefault="00923403" w:rsidP="00B804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923403">
        <w:rPr>
          <w:rFonts w:ascii="Times New Roman" w:eastAsia="Times New Roman" w:hAnsi="Times New Roman" w:cs="Times New Roman"/>
          <w:bCs/>
          <w:iCs/>
          <w:color w:val="000000"/>
        </w:rPr>
        <w:t xml:space="preserve">с </w:t>
      </w:r>
      <w:r w:rsidRPr="00923403">
        <w:rPr>
          <w:rFonts w:ascii="Times New Roman" w:eastAsia="Times New Roman" w:hAnsi="Times New Roman" w:cs="Times New Roman"/>
          <w:color w:val="000000"/>
        </w:rPr>
        <w:t xml:space="preserve"> ФГОС</w:t>
      </w:r>
      <w:proofErr w:type="gramEnd"/>
      <w:r w:rsidRPr="00923403">
        <w:rPr>
          <w:rFonts w:ascii="Times New Roman" w:eastAsia="Times New Roman" w:hAnsi="Times New Roman" w:cs="Times New Roman"/>
          <w:color w:val="000000"/>
        </w:rPr>
        <w:t xml:space="preserve"> ООО                                                                                                                                                                       </w:t>
      </w:r>
      <w:r w:rsidR="00B80465" w:rsidRPr="00B80465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 Таштимирова Луиза   Валиулловна</w:t>
      </w:r>
    </w:p>
    <w:p w:rsidR="00B80465" w:rsidRPr="00B80465" w:rsidRDefault="00B80465" w:rsidP="00B804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04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учитель татарского языка и литературы</w:t>
      </w:r>
    </w:p>
    <w:p w:rsidR="00B80465" w:rsidRPr="00B80465" w:rsidRDefault="00B80465" w:rsidP="00B804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04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B80465" w:rsidRPr="00B80465" w:rsidRDefault="00B80465" w:rsidP="00B804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23403" w:rsidRPr="00923403" w:rsidRDefault="00923403" w:rsidP="00B804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</w:rPr>
      </w:pPr>
      <w:bookmarkStart w:id="0" w:name="_GoBack"/>
      <w:bookmarkEnd w:id="0"/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6340F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923403">
        <w:rPr>
          <w:rFonts w:ascii="Times New Roman" w:eastAsia="Times New Roman" w:hAnsi="Times New Roman" w:cs="Times New Roman"/>
          <w:bCs/>
          <w:iCs/>
        </w:rPr>
        <w:t>д.Полуянова</w:t>
      </w:r>
      <w:proofErr w:type="spellEnd"/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</w:rPr>
      </w:pPr>
      <w:r w:rsidRPr="00923403">
        <w:rPr>
          <w:rFonts w:ascii="Times New Roman" w:eastAsia="Times New Roman" w:hAnsi="Times New Roman" w:cs="Times New Roman"/>
          <w:bCs/>
          <w:iCs/>
          <w:color w:val="000000"/>
        </w:rPr>
        <w:t>2019 год</w:t>
      </w:r>
    </w:p>
    <w:p w:rsidR="00923403" w:rsidRDefault="00923403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23403" w:rsidRDefault="00923403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B6589" w:rsidRPr="00923403" w:rsidRDefault="003B6589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23403" w:rsidRPr="00923403" w:rsidRDefault="00923403" w:rsidP="00923403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EE4DB8" w:rsidRDefault="00EE4DB8" w:rsidP="00EE4DB8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EE4DB8" w:rsidRPr="000D45D0" w:rsidRDefault="00EE4DB8" w:rsidP="00ED1A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0D45D0">
        <w:rPr>
          <w:rFonts w:ascii="Times New Roman" w:eastAsia="Times New Roman" w:hAnsi="Times New Roman" w:cs="Times New Roman"/>
          <w:lang w:eastAsia="ar-SA"/>
        </w:rPr>
        <w:t xml:space="preserve"> </w:t>
      </w:r>
      <w:r w:rsidR="006340F5">
        <w:rPr>
          <w:rFonts w:ascii="Times New Roman" w:eastAsia="Times New Roman" w:hAnsi="Times New Roman" w:cs="Times New Roman"/>
          <w:b/>
          <w:lang w:eastAsia="ar-SA"/>
        </w:rPr>
        <w:t>Планируем</w:t>
      </w:r>
      <w:r w:rsidR="003B6589">
        <w:rPr>
          <w:rFonts w:ascii="Times New Roman" w:eastAsia="Times New Roman" w:hAnsi="Times New Roman" w:cs="Times New Roman"/>
          <w:b/>
          <w:lang w:eastAsia="ar-SA"/>
        </w:rPr>
        <w:t>ые результаты освоения предмета «Родная литература»</w:t>
      </w:r>
    </w:p>
    <w:p w:rsidR="00EE4DB8" w:rsidRPr="000D45D0" w:rsidRDefault="00EE4DB8" w:rsidP="00ED1A6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6589">
        <w:rPr>
          <w:rFonts w:ascii="Times New Roman" w:eastAsia="Times New Roman" w:hAnsi="Times New Roman" w:cs="Times New Roman"/>
        </w:rPr>
        <w:t>Предметные результаты</w:t>
      </w:r>
      <w:r w:rsidRPr="000D45D0">
        <w:rPr>
          <w:rFonts w:ascii="Times New Roman" w:eastAsia="Times New Roman" w:hAnsi="Times New Roman" w:cs="Times New Roman"/>
        </w:rPr>
        <w:t xml:space="preserve"> освоения </w:t>
      </w:r>
      <w:r w:rsidR="003B6589">
        <w:rPr>
          <w:rFonts w:ascii="Times New Roman" w:eastAsia="Times New Roman" w:hAnsi="Times New Roman" w:cs="Times New Roman"/>
        </w:rPr>
        <w:t xml:space="preserve">предмета по родной литературе </w:t>
      </w:r>
      <w:r w:rsidRPr="000D45D0">
        <w:rPr>
          <w:rFonts w:ascii="Times New Roman" w:eastAsia="Times New Roman" w:hAnsi="Times New Roman" w:cs="Times New Roman"/>
        </w:rPr>
        <w:t>на уровне основного общего образования предполагают: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гармонизации отношений человека и общества, многоаспектного диалога;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как особого способа познания жизни;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3) обеспечение культурной самоидентификации, осознание коммуникативно-эстетических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российской и мировой культуры;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участвовать в обсуждении прочитанного, сознательно планировать свое досуговое чтение;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этнокультурные традиции;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принципиальных отличий литературного художественного текста от научного, делового, публицистического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прочитанное, осознавать художественную картину жизни, отраженную в литературном произведении, на</w:t>
      </w:r>
    </w:p>
    <w:p w:rsidR="00EE4DB8" w:rsidRPr="000D45D0" w:rsidRDefault="00EE4DB8" w:rsidP="00ED1A67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уровне не только эмоционального восприятия, но и интеллектуального осмысления.</w:t>
      </w:r>
    </w:p>
    <w:p w:rsidR="006340F5" w:rsidRDefault="00EE4DB8" w:rsidP="00ED1A6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>В результате изучения</w:t>
      </w:r>
      <w:r w:rsidR="008F3057">
        <w:rPr>
          <w:rFonts w:ascii="Times New Roman" w:eastAsia="Times New Roman" w:hAnsi="Times New Roman" w:cs="Times New Roman"/>
        </w:rPr>
        <w:t xml:space="preserve"> </w:t>
      </w:r>
      <w:r w:rsidR="003B6589">
        <w:rPr>
          <w:rFonts w:ascii="Times New Roman" w:eastAsia="Times New Roman" w:hAnsi="Times New Roman" w:cs="Times New Roman"/>
          <w:bCs/>
        </w:rPr>
        <w:t>родной литературы</w:t>
      </w:r>
    </w:p>
    <w:p w:rsidR="00EE4DB8" w:rsidRPr="006340F5" w:rsidRDefault="00EE4DB8" w:rsidP="00ED1A6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 xml:space="preserve"> </w:t>
      </w:r>
      <w:r w:rsidR="00BC1CEC">
        <w:rPr>
          <w:rFonts w:ascii="Times New Roman" w:eastAsia="Times New Roman" w:hAnsi="Times New Roman" w:cs="Times New Roman"/>
          <w:b/>
        </w:rPr>
        <w:t>Выпускник</w:t>
      </w:r>
      <w:r w:rsidRPr="000D45D0">
        <w:rPr>
          <w:rFonts w:ascii="Times New Roman" w:eastAsia="Times New Roman" w:hAnsi="Times New Roman" w:cs="Times New Roman"/>
          <w:b/>
        </w:rPr>
        <w:t xml:space="preserve"> научится: 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определять тему и основную мысль </w:t>
      </w:r>
      <w:proofErr w:type="gramStart"/>
      <w:r w:rsidRPr="000D45D0">
        <w:rPr>
          <w:rFonts w:ascii="Times New Roman" w:eastAsia="MS Mincho" w:hAnsi="Times New Roman" w:cs="Times New Roman"/>
        </w:rPr>
        <w:t>произведения ;</w:t>
      </w:r>
      <w:proofErr w:type="gramEnd"/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владеть различными видами пересказа;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характеризовать героев-персонажей, давать их сравнительные характеристики;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определять </w:t>
      </w:r>
      <w:proofErr w:type="spellStart"/>
      <w:r w:rsidRPr="000D45D0">
        <w:rPr>
          <w:rFonts w:ascii="Times New Roman" w:eastAsia="MS Mincho" w:hAnsi="Times New Roman" w:cs="Times New Roman"/>
        </w:rPr>
        <w:t>родо</w:t>
      </w:r>
      <w:proofErr w:type="spellEnd"/>
      <w:r w:rsidRPr="000D45D0">
        <w:rPr>
          <w:rFonts w:ascii="Times New Roman" w:eastAsia="MS Mincho" w:hAnsi="Times New Roman" w:cs="Times New Roman"/>
        </w:rPr>
        <w:t xml:space="preserve">-жанровую специфику художественного произведения;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выделять в произведениях элементы художественной формы и обнаруживать связи между ними;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</w:t>
      </w:r>
      <w:proofErr w:type="gramStart"/>
      <w:r w:rsidRPr="000D45D0">
        <w:rPr>
          <w:rFonts w:ascii="Times New Roman" w:eastAsia="Times New Roman" w:hAnsi="Times New Roman" w:cs="Times New Roman"/>
        </w:rPr>
        <w:t xml:space="preserve">произведения </w:t>
      </w:r>
      <w:r w:rsidRPr="000D45D0">
        <w:rPr>
          <w:rFonts w:ascii="Times New Roman" w:eastAsia="MS Mincho" w:hAnsi="Times New Roman" w:cs="Times New Roman"/>
        </w:rPr>
        <w:t>;</w:t>
      </w:r>
      <w:proofErr w:type="gramEnd"/>
      <w:r w:rsidRPr="000D45D0">
        <w:rPr>
          <w:rFonts w:ascii="Times New Roman" w:eastAsia="MS Mincho" w:hAnsi="Times New Roman" w:cs="Times New Roman"/>
        </w:rPr>
        <w:t xml:space="preserve">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EE4DB8" w:rsidRPr="000D45D0" w:rsidRDefault="00EE4DB8" w:rsidP="00ED1A6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выражать личное отношение к художественному произведению, аргументировать свою точку зрения;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EE4DB8" w:rsidRPr="000D45D0" w:rsidRDefault="00BC1CEC" w:rsidP="00ED1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Выпускник</w:t>
      </w:r>
      <w:r w:rsidR="00EE4DB8" w:rsidRPr="000D45D0">
        <w:rPr>
          <w:rFonts w:ascii="Times New Roman" w:eastAsia="Times New Roman" w:hAnsi="Times New Roman" w:cs="Times New Roman"/>
          <w:b/>
        </w:rPr>
        <w:t xml:space="preserve"> получит возможность научиться: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lastRenderedPageBreak/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объяснять значение незнакомого слова с опорой на контекст и с использованием словарей;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прочитанными;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рассказать о прочитанной книге (автор, название, тема);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EE4DB8" w:rsidRPr="000D45D0" w:rsidRDefault="00EE4DB8" w:rsidP="00ED1A67">
      <w:pPr>
        <w:tabs>
          <w:tab w:val="left" w:pos="5235"/>
          <w:tab w:val="center" w:pos="765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57703" w:rsidRPr="00EE4DB8" w:rsidRDefault="00EE4DB8" w:rsidP="00ED1A6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0D45D0">
        <w:rPr>
          <w:rFonts w:ascii="Times New Roman" w:eastAsia="Arial" w:hAnsi="Times New Roman" w:cs="Times New Roman"/>
          <w:b/>
          <w:lang w:eastAsia="ar-SA"/>
        </w:rPr>
        <w:t xml:space="preserve"> Содержание </w:t>
      </w:r>
      <w:r w:rsidR="003B6589">
        <w:rPr>
          <w:rFonts w:ascii="Times New Roman" w:eastAsia="Arial" w:hAnsi="Times New Roman" w:cs="Times New Roman"/>
          <w:b/>
          <w:lang w:eastAsia="ar-SA"/>
        </w:rPr>
        <w:t>предмета «Родная литература»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86"/>
      </w:tblGrid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Периоды литературы:</w:t>
            </w:r>
            <w:r w:rsidR="00EE4DB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F2D87">
              <w:rPr>
                <w:rFonts w:ascii="Times New Roman" w:hAnsi="Times New Roman" w:cs="Times New Roman"/>
                <w:color w:val="000000"/>
              </w:rPr>
              <w:t>Руническая и уйгурская письменность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Книга Махмуда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Кашгарыя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«Сборник о прелестях языка»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Баласагунлы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«Книга о счастье»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Коран и татарская литература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Булгарского периода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Творчество Кол Гали. Поэма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Воспитательное значение поэмы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Поэма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 коллекция золотого фонда тюркской литературы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Видные деятели татарской литературы XIV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Произведение Махмуда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Булгари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 «Правда о райском саде»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Творчество Саида Сараи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Источники  средних веков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Великие татарские личности XV – XVI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Омми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Камала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Мухаммадьяра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Мауля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Колыя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Литературные жанры и личности XVIII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Габдерахим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Утыз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Имани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видный деятель своего времени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Поэзия начала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Габделжаббара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Кандалый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Любовная лирика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Г.Кандалый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первой половины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второй половины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Воспитательное значение творчества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Каюма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Насыйри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Рост реалистической прозы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Мусы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Акъегета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. Роман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Хисаметдин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менла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lastRenderedPageBreak/>
              <w:t xml:space="preserve">Добро и зло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Ризаэтдина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Фахретдина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Вопросы любви и семьи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Фатиха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Карими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Захир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Бигиев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– автор первого  детектива в татарской прозе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Мифтахетдин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Акмулла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– представитель татарской, казахской и башкирской литературы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Первые шаги татарской драматургии 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Тематика произведений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Габдрахмана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Ильяси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Фатиха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Халиди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Аяза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Гилязова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Актуальные проблемы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Аяза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Гилязова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Анализ и воспитательное значение произведения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А.Гилязова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«В пятницу вечером»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Внеклассное чтение рассказ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Б.Сулейманова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«Мама»</w:t>
            </w:r>
            <w:r w:rsidR="00A7764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77644" w:rsidRPr="003F2D87" w:rsidRDefault="00A77644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163BF" w:rsidRPr="005163BF" w:rsidRDefault="005163BF" w:rsidP="00ED1A67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163BF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8150"/>
        <w:gridCol w:w="1888"/>
      </w:tblGrid>
      <w:tr w:rsidR="006340F5" w:rsidRPr="005163BF" w:rsidTr="006340F5">
        <w:trPr>
          <w:trHeight w:val="234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8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0F5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Количество</w:t>
            </w:r>
          </w:p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часов</w:t>
            </w:r>
          </w:p>
        </w:tc>
      </w:tr>
      <w:tr w:rsidR="006340F5" w:rsidRPr="005163BF" w:rsidTr="006340F5">
        <w:trPr>
          <w:trHeight w:val="402"/>
          <w:jc w:val="center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8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Рабочая программа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Периоды литературы: Руническая и уйгурская письменность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Книга Махмуда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Кашгарыя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о прелестях языка»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Баласагунлы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«Книга о счастье»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Коран и татарская литература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Булгарского периода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Кол Гали. Поэма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Воспитательное значение поэмы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коллекция золотого фонда тюркской литературы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Видные деятели татарской литературы XIV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Произведение Махмуда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Булгари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«Правда о райском саде»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Саида Сараи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 средних веков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татарские личности XV – XVI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Омми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Мухаммадьяра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Мауля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Габди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Литературные жанры и личности XVIII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Габдерахим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Утыз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видный деятель своего времени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Поэзия начала XIX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Габделжаббара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Кандалый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Любовная лирика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Г.Кандалый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первой половины XIX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lastRenderedPageBreak/>
              <w:t>21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второй половины XIX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Воспитательное значение творчества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Каюма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Насыйри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реалистической прозы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Мусы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Акъегета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Роман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Хисаметдин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 и зло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Ризаэтдина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Фахретдина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любви и семьи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Карими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Захир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Бигиев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автор первого  детектива в татарской прозе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Мифтахетдин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Акмулла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представитель татарской, казахской и башкирской литературы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Первые шаги татарской драматургии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Тематика произведений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Габдрахмана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Халиди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Актуальные проблемы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и воспитательное значение произведения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А.Гилязова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 пятницу вечером»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Рассказ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Б.Сулейманова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«Мама»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Итого: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1 четверть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2 четверть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3 четверть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4 четверть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год</w:t>
            </w:r>
          </w:p>
          <w:p w:rsidR="006340F5" w:rsidRPr="005163BF" w:rsidRDefault="006340F5" w:rsidP="00ED1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40F5" w:rsidRPr="005163BF" w:rsidRDefault="006340F5" w:rsidP="00ED1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6340F5" w:rsidRPr="005163BF" w:rsidRDefault="00ED1A67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8</w:t>
            </w:r>
          </w:p>
          <w:p w:rsidR="006340F5" w:rsidRPr="005163BF" w:rsidRDefault="00ED1A67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8</w:t>
            </w:r>
          </w:p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10</w:t>
            </w:r>
          </w:p>
          <w:p w:rsidR="006340F5" w:rsidRPr="005163BF" w:rsidRDefault="00ED1A67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8</w:t>
            </w:r>
          </w:p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</w:tr>
    </w:tbl>
    <w:p w:rsidR="005163BF" w:rsidRPr="00A77644" w:rsidRDefault="005163BF" w:rsidP="00ED1A6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57703" w:rsidRPr="00851125" w:rsidRDefault="00957703" w:rsidP="00ED1A67">
      <w:pPr>
        <w:spacing w:after="0" w:line="240" w:lineRule="auto"/>
        <w:rPr>
          <w:rFonts w:ascii="Times New Roman" w:hAnsi="Times New Roman"/>
        </w:rPr>
      </w:pPr>
    </w:p>
    <w:p w:rsidR="00EE31A6" w:rsidRDefault="00EE31A6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A77FE2" w:rsidRDefault="00A77FE2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414EA8" w:rsidRDefault="00414EA8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414EA8" w:rsidRDefault="00414EA8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414EA8" w:rsidRDefault="00414EA8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111E34" w:rsidRPr="00111E34" w:rsidRDefault="00ED1A67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111E34">
        <w:rPr>
          <w:rFonts w:ascii="Times New Roman" w:eastAsia="Calibri" w:hAnsi="Times New Roman" w:cs="Times New Roman"/>
          <w:lang w:eastAsia="en-US"/>
        </w:rPr>
        <w:t xml:space="preserve"> </w:t>
      </w:r>
    </w:p>
    <w:p w:rsidR="00780EDC" w:rsidRDefault="00780EDC" w:rsidP="00ED1A67">
      <w:pPr>
        <w:spacing w:after="0" w:line="240" w:lineRule="auto"/>
      </w:pPr>
    </w:p>
    <w:sectPr w:rsidR="00780EDC" w:rsidSect="003F2D87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4640"/>
    <w:multiLevelType w:val="hybridMultilevel"/>
    <w:tmpl w:val="A8E2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1472"/>
    <w:rsid w:val="000A3257"/>
    <w:rsid w:val="00111E34"/>
    <w:rsid w:val="001353BD"/>
    <w:rsid w:val="002465B1"/>
    <w:rsid w:val="003B6589"/>
    <w:rsid w:val="003F2D87"/>
    <w:rsid w:val="00414EA8"/>
    <w:rsid w:val="00515810"/>
    <w:rsid w:val="005163BF"/>
    <w:rsid w:val="00632BCD"/>
    <w:rsid w:val="006340F5"/>
    <w:rsid w:val="007450D1"/>
    <w:rsid w:val="00780EDC"/>
    <w:rsid w:val="00857908"/>
    <w:rsid w:val="008F3057"/>
    <w:rsid w:val="00923403"/>
    <w:rsid w:val="00946343"/>
    <w:rsid w:val="009529E7"/>
    <w:rsid w:val="00957703"/>
    <w:rsid w:val="009F01B1"/>
    <w:rsid w:val="00A16ED7"/>
    <w:rsid w:val="00A77644"/>
    <w:rsid w:val="00A77FE2"/>
    <w:rsid w:val="00AC1472"/>
    <w:rsid w:val="00AF35B1"/>
    <w:rsid w:val="00B32AF7"/>
    <w:rsid w:val="00B80465"/>
    <w:rsid w:val="00B81454"/>
    <w:rsid w:val="00BC1CEC"/>
    <w:rsid w:val="00CA0101"/>
    <w:rsid w:val="00E85E0B"/>
    <w:rsid w:val="00ED1A67"/>
    <w:rsid w:val="00EE31A6"/>
    <w:rsid w:val="00EE4DB8"/>
    <w:rsid w:val="00F81D25"/>
    <w:rsid w:val="00F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99D2B-662B-462E-A678-A1AC9822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47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E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HP</cp:lastModifiedBy>
  <cp:revision>26</cp:revision>
  <dcterms:created xsi:type="dcterms:W3CDTF">2016-11-06T15:23:00Z</dcterms:created>
  <dcterms:modified xsi:type="dcterms:W3CDTF">2019-12-24T09:19:00Z</dcterms:modified>
</cp:coreProperties>
</file>