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41" w:rsidRPr="004F7841" w:rsidRDefault="004F7841" w:rsidP="001E2553">
      <w:pPr>
        <w:spacing w:before="100" w:beforeAutospacing="1" w:after="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BA0" w:rsidRDefault="00C17BA0" w:rsidP="00C1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в соответствии  с федеральным компонентом государственных образовательных стандартов основного общего образования по изобразительному искусству (Сборник нормативных документов.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2005г.</w:t>
      </w:r>
    </w:p>
    <w:p w:rsidR="004F7841" w:rsidRDefault="004F7841" w:rsidP="004F78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4F7841" w:rsidRDefault="00C17BA0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</w:t>
      </w:r>
      <w:r w:rsidR="004F7841">
        <w:rPr>
          <w:rFonts w:ascii="Times New Roman" w:hAnsi="Times New Roman" w:cs="Times New Roman"/>
          <w:sz w:val="24"/>
          <w:szCs w:val="24"/>
        </w:rPr>
        <w:t xml:space="preserve"> ч. в год (1 час в неделю). Программой предусмотрено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живопись, рисунок) – 16 часов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4F7841" w:rsidRDefault="004F7841" w:rsidP="004F7841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обученности учащихся по изобразительному искусству являются не только степень достижения учебных целей, уровень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Оценивается каждая практическая работа, выполненная учащимися.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учебной задачи урока;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художественную выразительность композиции;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4F7841" w:rsidRDefault="004F7841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jc w:val="center"/>
        <w:tblInd w:w="-743" w:type="dxa"/>
        <w:tblLook w:val="04A0" w:firstRow="1" w:lastRow="0" w:firstColumn="1" w:lastColumn="0" w:noHBand="0" w:noVBand="1"/>
      </w:tblPr>
      <w:tblGrid>
        <w:gridCol w:w="1135"/>
        <w:gridCol w:w="9355"/>
      </w:tblGrid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для грамотного рисования. Летние впечатления.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цветовой круг.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Живописные и графические упражнения.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 фрукты.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 комнатный цветок и яблоко; корзина с овощами.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домашних животных (лошадь, корова, коза, собака, кошка).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дне морском.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Невиданный зверь.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с кукл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Наброски с фигуры человека, сидящего в профиль (в легкой одежде, не скрывающей</w:t>
            </w:r>
            <w:proofErr w:type="gramEnd"/>
          </w:p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телосложение).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Фигура человека в движении. Спорт.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открытка, приглашение на бал.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(развлечения, спорт). Комиксы.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архитектурные ансамбли.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новостройки.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народного костюма.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быт в прошлые века. Иллюстрации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 («Рождество» или «Новорожденный»).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орнамента. Гипсовый трилистник.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дали.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герба.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 цирка.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профессия. Поясной портрет.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Портрет-шутка.</w:t>
            </w:r>
          </w:p>
        </w:tc>
      </w:tr>
    </w:tbl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6 класса к концу учебного года должен знать/понимать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композиции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искусство и памятники родного края;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взаимосвязь изобразительного искусства с другими областями культуры;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ведущие художественные музеи России и других стран;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художественный образ в композициях;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4F7841" w:rsidRDefault="004F7841" w:rsidP="004F7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композиции.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>
        <w:rPr>
          <w:rFonts w:ascii="Times New Roman" w:hAnsi="Times New Roman" w:cs="Times New Roman"/>
          <w:b/>
          <w:sz w:val="24"/>
          <w:szCs w:val="24"/>
        </w:rPr>
        <w:t>не оценивается</w:t>
      </w:r>
      <w:r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206" w:rsidRDefault="003C1206"/>
    <w:sectPr w:rsidR="003C1206" w:rsidSect="001E25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C6"/>
    <w:rsid w:val="00122AC6"/>
    <w:rsid w:val="001E2553"/>
    <w:rsid w:val="003C1206"/>
    <w:rsid w:val="004F7841"/>
    <w:rsid w:val="00C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7</cp:revision>
  <dcterms:created xsi:type="dcterms:W3CDTF">2014-12-09T11:49:00Z</dcterms:created>
  <dcterms:modified xsi:type="dcterms:W3CDTF">2016-08-31T03:57:00Z</dcterms:modified>
</cp:coreProperties>
</file>