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64" w:rsidRPr="006D7B2C" w:rsidRDefault="002B6364" w:rsidP="002B6364">
      <w:pPr>
        <w:jc w:val="center"/>
        <w:rPr>
          <w:b/>
          <w:caps/>
        </w:rPr>
      </w:pPr>
      <w:r>
        <w:rPr>
          <w:b/>
          <w:caps/>
        </w:rPr>
        <w:t xml:space="preserve">5. </w:t>
      </w:r>
      <w:r w:rsidRPr="006D7B2C">
        <w:rPr>
          <w:b/>
          <w:caps/>
        </w:rPr>
        <w:t>Кадровое обеспечение учебной деятельности</w:t>
      </w:r>
    </w:p>
    <w:p w:rsidR="002B6364" w:rsidRPr="00786092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Сведения о педагогических кадрах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1996"/>
        <w:gridCol w:w="1996"/>
        <w:gridCol w:w="1996"/>
      </w:tblGrid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ind w:left="-284" w:firstLine="284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2012-2013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2013-2014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2014-2015</w:t>
            </w:r>
            <w:r w:rsidRPr="00786092">
              <w:t xml:space="preserve"> </w:t>
            </w:r>
          </w:p>
          <w:p w:rsidR="002B6364" w:rsidRPr="00786092" w:rsidRDefault="002B6364" w:rsidP="00CF3D0C">
            <w:pPr>
              <w:jc w:val="center"/>
            </w:pPr>
            <w:r>
              <w:t>(кол-во</w:t>
            </w:r>
            <w:proofErr w:type="gramStart"/>
            <w:r>
              <w:t>, %</w:t>
            </w:r>
            <w:r w:rsidRPr="00786092">
              <w:t>)</w:t>
            </w:r>
            <w:proofErr w:type="gramEnd"/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Всего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9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Высшее образование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10 (100%)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10</w:t>
            </w:r>
            <w:r w:rsidRPr="00786092">
              <w:t xml:space="preserve"> (100%)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9</w:t>
            </w:r>
            <w:r w:rsidRPr="00786092">
              <w:t xml:space="preserve"> (100%)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Средн</w:t>
            </w:r>
            <w:proofErr w:type="gramStart"/>
            <w:r w:rsidRPr="00786092">
              <w:t>е-</w:t>
            </w:r>
            <w:proofErr w:type="gramEnd"/>
            <w:r w:rsidRPr="00786092">
              <w:t xml:space="preserve"> специальное образование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Высшая категория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5 (5</w:t>
            </w:r>
            <w:r w:rsidRPr="00786092">
              <w:t>0%)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5 (50%)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4 (44</w:t>
            </w:r>
            <w:r w:rsidRPr="00786092">
              <w:t>%)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Первая категория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5 (4</w:t>
            </w:r>
            <w:r w:rsidRPr="00786092">
              <w:t>0%)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4 (40%</w:t>
            </w:r>
            <w:r w:rsidRPr="00786092"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3 (33</w:t>
            </w:r>
            <w:r w:rsidRPr="00786092">
              <w:t>%)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Вторая категория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1 (11%)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соответствие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</w:tr>
      <w:tr w:rsidR="002B6364" w:rsidRPr="00786092" w:rsidTr="00CF3D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r w:rsidRPr="00786092">
              <w:t>Без категории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1 (10%</w:t>
            </w:r>
            <w:r w:rsidRPr="00786092"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64" w:rsidRPr="00786092" w:rsidRDefault="002B6364" w:rsidP="00CF3D0C">
            <w:pPr>
              <w:jc w:val="center"/>
            </w:pPr>
            <w:r>
              <w:t>1 (11%)</w:t>
            </w:r>
          </w:p>
        </w:tc>
      </w:tr>
    </w:tbl>
    <w:p w:rsidR="002B6364" w:rsidRPr="00E85012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Сведения об административно- управленческих кадрах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2031"/>
        <w:gridCol w:w="2032"/>
        <w:gridCol w:w="1925"/>
      </w:tblGrid>
      <w:tr w:rsidR="002B6364" w:rsidRPr="00786092" w:rsidTr="00CF3D0C">
        <w:trPr>
          <w:trHeight w:val="522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 w:rsidRPr="00786092">
              <w:t>2012-2013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>
              <w:t>2013-2014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>
              <w:t>2014-2015</w:t>
            </w:r>
            <w:r w:rsidRPr="00786092">
              <w:t xml:space="preserve"> </w:t>
            </w:r>
          </w:p>
          <w:p w:rsidR="002B6364" w:rsidRPr="00786092" w:rsidRDefault="002B6364" w:rsidP="00CF3D0C">
            <w:pPr>
              <w:jc w:val="center"/>
            </w:pPr>
            <w:r>
              <w:t>(кол-во</w:t>
            </w:r>
            <w:proofErr w:type="gramStart"/>
            <w:r>
              <w:t>, %</w:t>
            </w:r>
            <w:r w:rsidRPr="00786092">
              <w:t>)</w:t>
            </w:r>
            <w:proofErr w:type="gramEnd"/>
          </w:p>
        </w:tc>
      </w:tr>
      <w:tr w:rsidR="002B6364" w:rsidRPr="00786092" w:rsidTr="00CF3D0C">
        <w:trPr>
          <w:trHeight w:val="246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 xml:space="preserve">Всего 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 w:rsidRPr="00786092">
              <w:t>3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 w:rsidRPr="00786092">
              <w:t>3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 w:rsidRPr="00786092">
              <w:t>3</w:t>
            </w:r>
          </w:p>
        </w:tc>
      </w:tr>
      <w:tr w:rsidR="002B6364" w:rsidRPr="00786092" w:rsidTr="00CF3D0C">
        <w:trPr>
          <w:trHeight w:val="261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>Высшее образование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 w:rsidRPr="00786092">
              <w:t>3(100%)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 w:rsidRPr="00786092">
              <w:t>3(100%)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 w:rsidRPr="00786092">
              <w:t>3(100%)</w:t>
            </w:r>
          </w:p>
        </w:tc>
      </w:tr>
      <w:tr w:rsidR="002B6364" w:rsidRPr="00786092" w:rsidTr="00CF3D0C">
        <w:trPr>
          <w:trHeight w:val="260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>Средне-специальное образование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 w:rsidRPr="00786092">
              <w:t>0</w:t>
            </w:r>
          </w:p>
        </w:tc>
      </w:tr>
      <w:tr w:rsidR="002B6364" w:rsidRPr="00786092" w:rsidTr="00CF3D0C">
        <w:trPr>
          <w:trHeight w:val="261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>Высшая категория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</w:tr>
      <w:tr w:rsidR="002B6364" w:rsidRPr="00786092" w:rsidTr="00CF3D0C">
        <w:trPr>
          <w:trHeight w:val="261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>Первая категория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</w:tr>
      <w:tr w:rsidR="002B6364" w:rsidRPr="00786092" w:rsidTr="00CF3D0C">
        <w:trPr>
          <w:trHeight w:val="258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>Соответствие занимаемой должности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>
              <w:t>1(33%)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>
              <w:t>2 (67%)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>
              <w:t>2 (67%)</w:t>
            </w:r>
          </w:p>
        </w:tc>
      </w:tr>
      <w:tr w:rsidR="002B6364" w:rsidRPr="00786092" w:rsidTr="00CF3D0C">
        <w:trPr>
          <w:trHeight w:val="261"/>
        </w:trPr>
        <w:tc>
          <w:tcPr>
            <w:tcW w:w="4219" w:type="dxa"/>
          </w:tcPr>
          <w:p w:rsidR="002B6364" w:rsidRPr="00786092" w:rsidRDefault="002B6364" w:rsidP="00CF3D0C">
            <w:pPr>
              <w:jc w:val="center"/>
            </w:pPr>
            <w:r w:rsidRPr="00786092">
              <w:t>Без категории</w:t>
            </w:r>
          </w:p>
        </w:tc>
        <w:tc>
          <w:tcPr>
            <w:tcW w:w="2031" w:type="dxa"/>
          </w:tcPr>
          <w:p w:rsidR="002B6364" w:rsidRPr="00786092" w:rsidRDefault="002B6364" w:rsidP="00CF3D0C">
            <w:pPr>
              <w:jc w:val="center"/>
            </w:pPr>
            <w:r w:rsidRPr="00786092">
              <w:t>2(66%)</w:t>
            </w:r>
          </w:p>
        </w:tc>
        <w:tc>
          <w:tcPr>
            <w:tcW w:w="2032" w:type="dxa"/>
          </w:tcPr>
          <w:p w:rsidR="002B6364" w:rsidRPr="00786092" w:rsidRDefault="002B6364" w:rsidP="00CF3D0C">
            <w:pPr>
              <w:jc w:val="center"/>
            </w:pPr>
            <w:r>
              <w:t>1 (33</w:t>
            </w:r>
            <w:r w:rsidRPr="00786092">
              <w:t>%)</w:t>
            </w:r>
          </w:p>
        </w:tc>
        <w:tc>
          <w:tcPr>
            <w:tcW w:w="1925" w:type="dxa"/>
          </w:tcPr>
          <w:p w:rsidR="002B6364" w:rsidRPr="00786092" w:rsidRDefault="002B6364" w:rsidP="00CF3D0C">
            <w:pPr>
              <w:jc w:val="center"/>
            </w:pPr>
            <w:r>
              <w:t>1 (33</w:t>
            </w:r>
            <w:r w:rsidRPr="00786092">
              <w:t>%)</w:t>
            </w:r>
          </w:p>
        </w:tc>
      </w:tr>
    </w:tbl>
    <w:p w:rsidR="002B6364" w:rsidRPr="008C2986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Сведения об учебно-вспомогательном персонале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984"/>
        <w:gridCol w:w="1985"/>
        <w:gridCol w:w="1985"/>
      </w:tblGrid>
      <w:tr w:rsidR="002B6364" w:rsidRPr="00786092" w:rsidTr="00CF3D0C">
        <w:trPr>
          <w:trHeight w:val="528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</w:p>
        </w:tc>
        <w:tc>
          <w:tcPr>
            <w:tcW w:w="1984" w:type="dxa"/>
          </w:tcPr>
          <w:p w:rsidR="002B6364" w:rsidRPr="00786092" w:rsidRDefault="002B6364" w:rsidP="00CF3D0C">
            <w:pPr>
              <w:jc w:val="center"/>
            </w:pPr>
            <w:r w:rsidRPr="00786092">
              <w:t>2012-2013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2013-2014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2014-2015</w:t>
            </w:r>
            <w:r w:rsidRPr="00786092">
              <w:t xml:space="preserve"> </w:t>
            </w:r>
          </w:p>
          <w:p w:rsidR="002B6364" w:rsidRPr="00786092" w:rsidRDefault="002B6364" w:rsidP="00CF3D0C">
            <w:pPr>
              <w:jc w:val="center"/>
            </w:pPr>
            <w:r>
              <w:t>(кол-во</w:t>
            </w:r>
            <w:proofErr w:type="gramStart"/>
            <w:r>
              <w:t>, %</w:t>
            </w:r>
            <w:r w:rsidRPr="00786092">
              <w:t>)</w:t>
            </w:r>
            <w:proofErr w:type="gramEnd"/>
          </w:p>
        </w:tc>
      </w:tr>
      <w:tr w:rsidR="002B6364" w:rsidRPr="00786092" w:rsidTr="00CF3D0C">
        <w:trPr>
          <w:trHeight w:val="264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  <w:r w:rsidRPr="00786092">
              <w:t xml:space="preserve">Всего </w:t>
            </w:r>
          </w:p>
        </w:tc>
        <w:tc>
          <w:tcPr>
            <w:tcW w:w="1984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</w:tr>
    </w:tbl>
    <w:p w:rsidR="002B6364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Сведения о специалистах </w:t>
      </w:r>
      <w:proofErr w:type="gramStart"/>
      <w:r>
        <w:rPr>
          <w:b/>
        </w:rPr>
        <w:t>психологической</w:t>
      </w:r>
      <w:proofErr w:type="gramEnd"/>
      <w:r>
        <w:rPr>
          <w:b/>
        </w:rPr>
        <w:t xml:space="preserve"> </w:t>
      </w:r>
    </w:p>
    <w:p w:rsidR="002B6364" w:rsidRPr="008C2986" w:rsidRDefault="002B6364" w:rsidP="002B6364">
      <w:pPr>
        <w:ind w:left="900"/>
        <w:jc w:val="center"/>
        <w:rPr>
          <w:b/>
        </w:rPr>
      </w:pPr>
      <w:r>
        <w:rPr>
          <w:b/>
        </w:rPr>
        <w:t>и социально – педагогической службы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984"/>
        <w:gridCol w:w="1985"/>
        <w:gridCol w:w="1985"/>
      </w:tblGrid>
      <w:tr w:rsidR="002B6364" w:rsidRPr="00786092" w:rsidTr="00CF3D0C">
        <w:trPr>
          <w:trHeight w:val="528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</w:p>
        </w:tc>
        <w:tc>
          <w:tcPr>
            <w:tcW w:w="1984" w:type="dxa"/>
          </w:tcPr>
          <w:p w:rsidR="002B6364" w:rsidRPr="00786092" w:rsidRDefault="002B6364" w:rsidP="00CF3D0C">
            <w:pPr>
              <w:jc w:val="center"/>
            </w:pPr>
            <w:r w:rsidRPr="00786092">
              <w:t>2012-2013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2013-2014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2014-2015</w:t>
            </w:r>
            <w:r w:rsidRPr="00786092">
              <w:t xml:space="preserve"> </w:t>
            </w:r>
          </w:p>
          <w:p w:rsidR="002B6364" w:rsidRPr="00786092" w:rsidRDefault="002B6364" w:rsidP="00CF3D0C">
            <w:pPr>
              <w:jc w:val="center"/>
            </w:pPr>
            <w:r>
              <w:t>(кол-во</w:t>
            </w:r>
            <w:proofErr w:type="gramStart"/>
            <w:r>
              <w:t>, %</w:t>
            </w:r>
            <w:r w:rsidRPr="00786092">
              <w:t>)</w:t>
            </w:r>
            <w:proofErr w:type="gramEnd"/>
          </w:p>
        </w:tc>
      </w:tr>
      <w:tr w:rsidR="002B6364" w:rsidRPr="00786092" w:rsidTr="00CF3D0C">
        <w:trPr>
          <w:trHeight w:val="264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  <w:r w:rsidRPr="00786092">
              <w:t xml:space="preserve">Всего </w:t>
            </w:r>
          </w:p>
        </w:tc>
        <w:tc>
          <w:tcPr>
            <w:tcW w:w="1984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0</w:t>
            </w:r>
          </w:p>
        </w:tc>
      </w:tr>
    </w:tbl>
    <w:p w:rsidR="002B6364" w:rsidRPr="00786092" w:rsidRDefault="002B6364" w:rsidP="002B6364">
      <w:pPr>
        <w:jc w:val="center"/>
      </w:pP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>Управление школой осуществляется в соответствии с Законом Российской Федерации</w:t>
      </w:r>
      <w:r>
        <w:rPr>
          <w:color w:val="000000"/>
        </w:rPr>
        <w:t xml:space="preserve"> «Об образовании» и </w:t>
      </w:r>
      <w:r w:rsidRPr="00786092">
        <w:rPr>
          <w:color w:val="000000"/>
        </w:rPr>
        <w:t>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B6364" w:rsidRPr="00786092" w:rsidRDefault="002B6364" w:rsidP="002B6364">
      <w:pPr>
        <w:shd w:val="clear" w:color="auto" w:fill="FFFFFF"/>
        <w:jc w:val="both"/>
        <w:rPr>
          <w:color w:val="000000"/>
        </w:rPr>
      </w:pPr>
      <w:r w:rsidRPr="00786092">
        <w:rPr>
          <w:color w:val="000000"/>
        </w:rPr>
        <w:t> </w:t>
      </w:r>
      <w:r>
        <w:rPr>
          <w:color w:val="000000"/>
        </w:rPr>
        <w:tab/>
      </w:r>
      <w:r w:rsidRPr="00786092">
        <w:rPr>
          <w:color w:val="000000"/>
        </w:rPr>
        <w:t>Управление школой осуществляется на основе сочетания принципов самоуправления коллектива и единоначалия. В основу положена четырёхуровневая структура управления.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>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 xml:space="preserve">На втором уровне структуры (по содержанию – это тоже уровень стратегического управления) функционируют традиционные субъекты управления: </w:t>
      </w:r>
      <w:r>
        <w:rPr>
          <w:color w:val="000000"/>
        </w:rPr>
        <w:t>Управляющий совет</w:t>
      </w:r>
      <w:r w:rsidRPr="00786092">
        <w:rPr>
          <w:color w:val="000000"/>
        </w:rPr>
        <w:t>,</w:t>
      </w:r>
      <w:r>
        <w:rPr>
          <w:color w:val="000000"/>
        </w:rPr>
        <w:t xml:space="preserve"> Наблюдательный совет, П</w:t>
      </w:r>
      <w:r w:rsidRPr="00786092">
        <w:rPr>
          <w:color w:val="000000"/>
        </w:rPr>
        <w:t>едагогический совет, родительский комитет, Общее собрание трудово</w:t>
      </w:r>
      <w:r>
        <w:rPr>
          <w:color w:val="000000"/>
        </w:rPr>
        <w:t>го коллектива</w:t>
      </w:r>
      <w:r w:rsidRPr="00786092">
        <w:rPr>
          <w:color w:val="000000"/>
        </w:rPr>
        <w:t>.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 xml:space="preserve">Третий уровень структуры управления (по содержанию – это уровень тактического управления) – уровень заместителя директора. Этот уровень представлен </w:t>
      </w:r>
      <w:r>
        <w:rPr>
          <w:color w:val="000000"/>
        </w:rPr>
        <w:t>Методическим советом</w:t>
      </w:r>
      <w:r w:rsidRPr="00786092">
        <w:rPr>
          <w:color w:val="000000"/>
        </w:rPr>
        <w:t>. 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>Четвертый уровень организационной структуры управления</w:t>
      </w:r>
      <w:r w:rsidRPr="00786092">
        <w:rPr>
          <w:rStyle w:val="apple-converted-space"/>
          <w:color w:val="000000"/>
        </w:rPr>
        <w:t> </w:t>
      </w:r>
      <w:r w:rsidRPr="00786092">
        <w:rPr>
          <w:color w:val="000000"/>
        </w:rPr>
        <w:t xml:space="preserve"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«соуправления». Иерархические связи по отношению к субъектам четвёртого уровня предполагают курирование, помощь, </w:t>
      </w:r>
      <w:r w:rsidRPr="00786092">
        <w:rPr>
          <w:color w:val="000000"/>
        </w:rPr>
        <w:lastRenderedPageBreak/>
        <w:t>педагогическое руководство.</w:t>
      </w:r>
      <w:r>
        <w:rPr>
          <w:color w:val="000000"/>
        </w:rPr>
        <w:t xml:space="preserve"> </w:t>
      </w:r>
      <w:r w:rsidRPr="00786092">
        <w:rPr>
          <w:color w:val="000000"/>
        </w:rPr>
        <w:t>В школе созданы органы ученического самоупр</w:t>
      </w:r>
      <w:r>
        <w:rPr>
          <w:color w:val="000000"/>
        </w:rPr>
        <w:t>авления, ученические организации: Школьная дума и «Солнечный город»</w:t>
      </w:r>
      <w:r w:rsidRPr="00786092">
        <w:rPr>
          <w:color w:val="000000"/>
        </w:rPr>
        <w:t>. Органы ученического самоуправления действуют на основании утвержденных Положений.</w:t>
      </w:r>
    </w:p>
    <w:p w:rsidR="009848E2" w:rsidRDefault="009848E2"/>
    <w:sectPr w:rsidR="009848E2" w:rsidSect="002B636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034"/>
    <w:multiLevelType w:val="multilevel"/>
    <w:tmpl w:val="CEC272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6364"/>
    <w:rsid w:val="002B6364"/>
    <w:rsid w:val="009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>Org inc etc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2015-07-31T13:16:00Z</dcterms:created>
  <dcterms:modified xsi:type="dcterms:W3CDTF">2015-07-31T13:17:00Z</dcterms:modified>
</cp:coreProperties>
</file>