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2A" w:rsidRPr="0075082A" w:rsidRDefault="0075082A" w:rsidP="0075082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5082A">
        <w:rPr>
          <w:rStyle w:val="c5"/>
          <w:rFonts w:eastAsiaTheme="majorEastAsia"/>
          <w:b/>
          <w:sz w:val="28"/>
          <w:szCs w:val="28"/>
        </w:rPr>
        <w:t xml:space="preserve">Результаты освоения </w:t>
      </w:r>
      <w:proofErr w:type="gramStart"/>
      <w:r w:rsidRPr="0075082A">
        <w:rPr>
          <w:rStyle w:val="c5"/>
          <w:rFonts w:eastAsiaTheme="majorEastAsia"/>
          <w:b/>
          <w:sz w:val="28"/>
          <w:szCs w:val="28"/>
        </w:rPr>
        <w:t>обучающимися</w:t>
      </w:r>
      <w:proofErr w:type="gramEnd"/>
      <w:r w:rsidRPr="0075082A">
        <w:rPr>
          <w:rStyle w:val="c5"/>
          <w:rFonts w:eastAsiaTheme="majorEastAsia"/>
          <w:b/>
          <w:sz w:val="28"/>
          <w:szCs w:val="28"/>
        </w:rPr>
        <w:t xml:space="preserve"> основной образовательной программы: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3F3DE7">
        <w:rPr>
          <w:rStyle w:val="c5"/>
          <w:rFonts w:eastAsiaTheme="majorEastAsia"/>
        </w:rPr>
        <w:t>обучающимися</w:t>
      </w:r>
      <w:proofErr w:type="gramEnd"/>
      <w:r w:rsidRPr="003F3DE7">
        <w:rPr>
          <w:rStyle w:val="c5"/>
          <w:rFonts w:eastAsiaTheme="majorEastAsia"/>
        </w:rPr>
        <w:t xml:space="preserve"> основной образовательной программы: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 xml:space="preserve">• личностным, включающим готовность и способность </w:t>
      </w:r>
      <w:proofErr w:type="spellStart"/>
      <w:r w:rsidRPr="003F3DE7">
        <w:rPr>
          <w:rStyle w:val="c5"/>
          <w:rFonts w:eastAsiaTheme="majorEastAsia"/>
        </w:rPr>
        <w:t>об-учающихся</w:t>
      </w:r>
      <w:proofErr w:type="spellEnd"/>
      <w:r w:rsidRPr="003F3DE7">
        <w:rPr>
          <w:rStyle w:val="c5"/>
          <w:rFonts w:eastAsiaTheme="majorEastAsia"/>
        </w:rPr>
        <w:t xml:space="preserve"> к саморазвитию и личностному самоопределению, </w:t>
      </w:r>
      <w:proofErr w:type="spellStart"/>
      <w:r w:rsidRPr="003F3DE7">
        <w:rPr>
          <w:rStyle w:val="c5"/>
          <w:rFonts w:eastAsiaTheme="majorEastAsia"/>
        </w:rPr>
        <w:t>сформированность</w:t>
      </w:r>
      <w:proofErr w:type="spellEnd"/>
      <w:r w:rsidRPr="003F3DE7">
        <w:rPr>
          <w:rStyle w:val="c5"/>
          <w:rFonts w:eastAsiaTheme="majorEastAsia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3F3DE7">
        <w:rPr>
          <w:rStyle w:val="c5"/>
          <w:rFonts w:eastAsiaTheme="majorEastAsia"/>
        </w:rPr>
        <w:t>ценностно</w:t>
      </w:r>
      <w:proofErr w:type="spellEnd"/>
      <w:r w:rsidRPr="003F3DE7">
        <w:rPr>
          <w:rStyle w:val="c5"/>
          <w:rFonts w:eastAsiaTheme="majorEastAsia"/>
        </w:rPr>
        <w:t xml:space="preserve">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>• </w:t>
      </w:r>
      <w:proofErr w:type="spellStart"/>
      <w:r w:rsidRPr="003F3DE7">
        <w:rPr>
          <w:rStyle w:val="c5"/>
          <w:rFonts w:eastAsiaTheme="majorEastAsia"/>
        </w:rPr>
        <w:t>метапредметным</w:t>
      </w:r>
      <w:proofErr w:type="spellEnd"/>
      <w:r w:rsidRPr="003F3DE7">
        <w:rPr>
          <w:rStyle w:val="c5"/>
          <w:rFonts w:eastAsiaTheme="majorEastAsia"/>
        </w:rPr>
        <w:t xml:space="preserve">, включающим освоенные обучающимися </w:t>
      </w:r>
      <w:proofErr w:type="spellStart"/>
      <w:r w:rsidRPr="003F3DE7">
        <w:rPr>
          <w:rStyle w:val="c5"/>
          <w:rFonts w:eastAsiaTheme="majorEastAsia"/>
        </w:rPr>
        <w:t>метапредметные</w:t>
      </w:r>
      <w:proofErr w:type="spellEnd"/>
      <w:r w:rsidRPr="003F3DE7">
        <w:rPr>
          <w:rStyle w:val="c5"/>
          <w:rFonts w:eastAsiaTheme="majorEastAsia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</w:t>
      </w:r>
      <w:proofErr w:type="spellStart"/>
      <w:r w:rsidRPr="003F3DE7">
        <w:rPr>
          <w:rStyle w:val="c5"/>
          <w:rFonts w:eastAsiaTheme="majorEastAsia"/>
        </w:rPr>
        <w:t>по¬знавательной</w:t>
      </w:r>
      <w:proofErr w:type="spellEnd"/>
      <w:r w:rsidRPr="003F3DE7">
        <w:rPr>
          <w:rStyle w:val="c5"/>
          <w:rFonts w:eastAsiaTheme="majorEastAsia"/>
        </w:rPr>
        <w:t xml:space="preserve">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>• 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К личностным результатам, на становление которых оказывает влияние изучение курса информатики, можно отнести: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– ориентация обучающихся на реализацию позитивных жизненных перспектив, инициативность, </w:t>
      </w:r>
      <w:proofErr w:type="spellStart"/>
      <w:r w:rsidRPr="003F3DE7">
        <w:rPr>
          <w:rStyle w:val="c5"/>
          <w:rFonts w:eastAsiaTheme="majorEastAsia"/>
        </w:rPr>
        <w:t>креативность</w:t>
      </w:r>
      <w:proofErr w:type="spellEnd"/>
      <w:r w:rsidRPr="003F3DE7">
        <w:rPr>
          <w:rStyle w:val="c5"/>
          <w:rFonts w:eastAsiaTheme="majorEastAsia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lastRenderedPageBreak/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уважение ко всем формам собственности, готовность к защите своей собственности,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осознанный выбор будущей профессии как путь и способ реализации собственных жизненных планов;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3F3DE7">
        <w:rPr>
          <w:rStyle w:val="c5"/>
          <w:rFonts w:eastAsiaTheme="majorEastAsia"/>
        </w:rPr>
        <w:t>Метапредметные</w:t>
      </w:r>
      <w:proofErr w:type="spellEnd"/>
      <w:r w:rsidRPr="003F3DE7">
        <w:rPr>
          <w:rStyle w:val="c5"/>
          <w:rFonts w:eastAsiaTheme="majorEastAsia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 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организовывать эффективный поиск ресурсов, необходимых для достижения поставленной цели;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3F3DE7">
        <w:rPr>
          <w:rStyle w:val="c5"/>
          <w:rFonts w:eastAsiaTheme="majorEastAsia"/>
        </w:rPr>
        <w:t>научится</w:t>
      </w:r>
      <w:proofErr w:type="gramEnd"/>
      <w:r w:rsidRPr="003F3DE7">
        <w:rPr>
          <w:rStyle w:val="c5"/>
          <w:rFonts w:eastAsiaTheme="majorEastAsia"/>
        </w:rPr>
        <w:t>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lastRenderedPageBreak/>
        <w:t xml:space="preserve">– осуществлять деловую коммуникацию как со сверстниками, так и </w:t>
      </w:r>
      <w:proofErr w:type="gramStart"/>
      <w:r w:rsidRPr="003F3DE7">
        <w:rPr>
          <w:rStyle w:val="c5"/>
          <w:rFonts w:eastAsiaTheme="majorEastAsia"/>
        </w:rPr>
        <w:t>со</w:t>
      </w:r>
      <w:proofErr w:type="gramEnd"/>
      <w:r w:rsidRPr="003F3DE7">
        <w:rPr>
          <w:rStyle w:val="c5"/>
          <w:rFonts w:eastAsiaTheme="majorEastAsia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3F3DE7" w:rsidRPr="003F3DE7" w:rsidRDefault="003F3DE7" w:rsidP="003F3DE7">
      <w:pPr>
        <w:pStyle w:val="a3"/>
        <w:numPr>
          <w:ilvl w:val="0"/>
          <w:numId w:val="1"/>
        </w:numPr>
        <w:spacing w:line="360" w:lineRule="auto"/>
        <w:ind w:left="0" w:firstLine="0"/>
        <w:jc w:val="center"/>
      </w:pPr>
      <w:r w:rsidRPr="003F3DE7">
        <w:rPr>
          <w:b/>
          <w:u w:val="single"/>
        </w:rPr>
        <w:t>Содержание учебного курса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>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раскрывать общие закономерности протекания информационных процессов в системах различной природы;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 определять качественные и количественные характеристики компонентов компьютера;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истории и тенденциях развития компьютеров; о том как можно улучшить характеристики компьютеров;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о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какие задачи решаются с помощью суперкомпьютеров.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осознано подходить к выбору ИКТ – сре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я своих учебных и иных целей;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Математические основы информатики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записывать логические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выражения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познакомиться с примерами использования графов, деревьев и списков при описании реальных объектов и процессов;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результат выполнения заданного алгоритма или его фрагмента;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3F3DE7">
        <w:rPr>
          <w:rFonts w:ascii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определять какие результаты возможны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познакомиться с использованием в программах строковых величин и с операциями со строковыми величинами;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создавать программы для решения задач, возникающих в процессе учебы и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и т. п.;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познакомится с программными средствами для работы с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аудио-визуальными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данными и соответствующим понятийным аппаратом;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о дискретном представлении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получить представление об истории и тенденциях развития ИКТ;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Тематическое планирование 10 класс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512"/>
        <w:gridCol w:w="1418"/>
      </w:tblGrid>
      <w:tr w:rsidR="003F3DE7" w:rsidRPr="003F3DE7" w:rsidTr="00BD5CA6">
        <w:trPr>
          <w:trHeight w:val="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3F3DE7">
              <w:rPr>
                <w:b/>
                <w:bCs/>
                <w:kern w:val="24"/>
              </w:rPr>
              <w:t>Количество часов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Инструктаж по ТБ. Информация и информационные процессы. Классификация информационных процессов.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этапы становления информационного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элементами, сигналы.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Дискретное (цифровое) представление информации. Двоичное представление информации. Кодирование различных видов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Поиск и систематизация информации. Хранение информации; выбор способа хранения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в социальных, биологических и технических системах.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Особенности запоминания, обработки и передачи информации человеком.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 компьютера. Архитектуры современных компьютеров. Выбор конфигурации компьютера в зависимости от решаемой задачи.</w:t>
            </w:r>
          </w:p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ПК.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Программные средства создания информационных объектов.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Многообразие операционных систем.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охрана данных и программ. Организация личной информационной среды. Защита информации.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методов информатики и средств ИКТ в обществе, природе и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информации на основе формальных правил. Алгоритмизация как необходимое условие его автоматизации.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Текст как информационный объект.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средства и технологии организации текста. Создание компьютерных публикаций.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приемы преобразования текстов. Работа в текстовом редакторе.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обработке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Программы распознавания текста.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Настольные издательские системы. Переводчики.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Графические информационные объекты.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 и технологии работы с графикой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редактирование графических информационных объектов.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Работа в графическом редакторе.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обработке графики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Мультимедиа. Компьютерные презентации. Анимация.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созданию презентаций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пройденного материалу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F3DE7" w:rsidRPr="003F3DE7" w:rsidRDefault="003F3DE7" w:rsidP="003F3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11 класс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522"/>
        <w:gridCol w:w="992"/>
        <w:gridCol w:w="2835"/>
      </w:tblGrid>
      <w:tr w:rsidR="003F3DE7" w:rsidRPr="003F3DE7" w:rsidTr="00BD5CA6">
        <w:trPr>
          <w:trHeight w:val="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№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Раздел</w:t>
            </w:r>
          </w:p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Тема раздела,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 w:rsidRPr="003F3DE7">
              <w:rPr>
                <w:b/>
                <w:kern w:val="24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kern w:val="24"/>
              </w:rPr>
              <w:t>Интеграция предметов</w:t>
            </w: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Инструктаж по ТБ. Двоичное представление информации.</w:t>
            </w:r>
          </w:p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различных видов информации.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Системы счисления. Правила перевода чисел из одной системы счисления в другую.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Логика. Логические операции.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Таблицы истинности. Законы логики.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(электронные) таблицы как информационные объекты. Основные функции MS </w:t>
            </w:r>
            <w:proofErr w:type="spell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таблиц для обработки числовых данных.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Ввод, редактирование данных, вычисление по формулам.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Информационные (нематериальные) модели.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информационной модели для решения поставленной задачи.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Вычисление по формулам. Виды адресации.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Решение задач по математике, физике, экономике, географии, биология, химии. Построение диаграмм.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математике, физике, экономике, географии. Компьютерное моделирование.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Оценка адекватности модели объекту и целям моделирования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Сортировка и фильтрация в электронной таблице.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Телекоммуникации. Средства и технологии обмена информацией с помощью компьютерных сетей.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Локальные и глобальные компьютерные сети.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сети Интернет. Основные сервисы Интернет: почта, всемирная паутина, чаты, </w:t>
            </w:r>
            <w:r w:rsidRPr="003F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-сервисы.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6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3F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Поисковые информационные системы.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поиска информации. Поиск информации в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поиску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Базы данных. Системы управления базами данных.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Основные функции MS </w:t>
            </w:r>
            <w:proofErr w:type="spell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. Создание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Организация запросов на выборку.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Итоговые запросы в 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Многотабличные БД. Организация запросов в многотабличной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этапы становления информационного общества. Этика и 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ресурсы. Виды профессиональной информационной деятельности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пройденному материалу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  <w:proofErr w:type="gramStart"/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2A2" w:rsidRPr="003F3DE7" w:rsidRDefault="001362A2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362A2" w:rsidRPr="003F3DE7" w:rsidSect="001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D20BA"/>
    <w:multiLevelType w:val="hybridMultilevel"/>
    <w:tmpl w:val="E22425C6"/>
    <w:lvl w:ilvl="0" w:tplc="9AC2AA34">
      <w:start w:val="2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3DE7"/>
    <w:rsid w:val="001362A2"/>
    <w:rsid w:val="003F3DE7"/>
    <w:rsid w:val="0075082A"/>
    <w:rsid w:val="00E1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3DE7"/>
  </w:style>
  <w:style w:type="paragraph" w:customStyle="1" w:styleId="c9">
    <w:name w:val="c9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F3DE7"/>
    <w:rPr>
      <w:rFonts w:ascii="Arial" w:hAnsi="Arial" w:cs="Arial"/>
      <w:sz w:val="18"/>
      <w:szCs w:val="18"/>
    </w:rPr>
  </w:style>
  <w:style w:type="paragraph" w:styleId="a4">
    <w:name w:val="Normal (Web)"/>
    <w:basedOn w:val="a"/>
    <w:uiPriority w:val="99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3DE7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3130</Words>
  <Characters>17842</Characters>
  <Application>Microsoft Office Word</Application>
  <DocSecurity>0</DocSecurity>
  <Lines>148</Lines>
  <Paragraphs>41</Paragraphs>
  <ScaleCrop>false</ScaleCrop>
  <Company>Microsoft</Company>
  <LinksUpToDate>false</LinksUpToDate>
  <CharactersWithSpaces>20931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Uzer2</cp:lastModifiedBy>
  <cp:revision>3</cp:revision>
  <dcterms:created xsi:type="dcterms:W3CDTF">2018-09-30T17:49:00Z</dcterms:created>
  <dcterms:modified xsi:type="dcterms:W3CDTF">2020-09-06T14:05:00Z</dcterms:modified>
</cp:coreProperties>
</file>